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Milestone 2 – Salable Products and Store Front Application</w:t>
      </w:r>
    </w:p>
    <w:p>
      <w:pPr>
        <w:jc w:val="center"/>
      </w:pPr>
      <w:r>
        <w:rPr>
          <w:b/>
          <w:sz w:val="28"/>
        </w:rPr>
        <w:t>Benjamin Schoolland</w:t>
      </w:r>
    </w:p>
    <w:p>
      <w:pPr>
        <w:jc w:val="center"/>
      </w:pPr>
      <w:r>
        <w:rPr>
          <w:sz w:val="24"/>
        </w:rPr>
        <w:t>CST-239 – Java Programming II</w:t>
      </w:r>
    </w:p>
    <w:p>
      <w:r>
        <w:t>For Milestone 2, I implemented the salable product class hierarchy and built out the fully functional Game Item Shop console application. This included creating the SalableProduct base class and its three subclasses (Weapon, Armor, Health), populating the StoreFront with hard-coded inventory, and implementing the customer flow for browsing wares, purchasing items, and returning items. The shop features an ASCII art shopkeeper and thematic dialogue to create an immersive game-store experience. The Lanterna library was added via Maven for potential future terminal UI enhancements.</w:t>
      </w:r>
    </w:p>
    <w:p>
      <w:pPr>
        <w:pStyle w:val="Heading2"/>
      </w:pPr>
      <w:r>
        <w:t>1. Store Description</w:t>
      </w:r>
    </w:p>
    <w:p>
      <w:r>
        <w:t>Store Name: Game Item Shop</w:t>
      </w:r>
    </w:p>
    <w:p>
      <w:r>
        <w:t>The Game Item Shop is a fantasy-themed store that sells items to players preparing for adventure. The shop carries weapons for slaying monsters, armor for surviving dragon encounters, and potions for healing after battle. It is run by a friendly shopkeeper (displayed as ASCII art on startup) who greets customers with thematic dialogue and guides them through their purchases.</w:t>
      </w:r>
    </w:p>
    <w:p>
      <w:r>
        <w:t>The application uses the Lanterna library (managed through Maven) to support terminal-based UI functionality. The Lanterna dependency is declared in the project's pom.xml and pulled in automatically during the Maven build process.</w:t>
      </w:r>
    </w:p>
    <w:p>
      <w:pPr>
        <w:pStyle w:val="Heading3"/>
      </w:pPr>
      <w:r>
        <w:t>Current Inventory: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Item Name</w:t>
            </w:r>
          </w:p>
        </w:tc>
        <w:tc>
          <w:tcPr>
            <w:tcW w:type="dxa" w:w="1728"/>
          </w:tcPr>
          <w:p>
            <w:r>
              <w:rPr>
                <w:b/>
              </w:rPr>
              <w:t>Type</w:t>
            </w:r>
          </w:p>
        </w:tc>
        <w:tc>
          <w:tcPr>
            <w:tcW w:type="dxa" w:w="1728"/>
          </w:tcPr>
          <w:p>
            <w:r>
              <w:rPr>
                <w:b/>
              </w:rPr>
              <w:t>Price (Gold)</w:t>
            </w:r>
          </w:p>
        </w:tc>
        <w:tc>
          <w:tcPr>
            <w:tcW w:type="dxa" w:w="1728"/>
          </w:tcPr>
          <w:p>
            <w:r>
              <w:rPr>
                <w:b/>
              </w:rPr>
              <w:t>Qty</w:t>
            </w:r>
          </w:p>
        </w:tc>
        <w:tc>
          <w:tcPr>
            <w:tcW w:type="dxa" w:w="1728"/>
          </w:tcPr>
          <w:p>
            <w:r>
              <w:rPr>
                <w:b/>
              </w:rPr>
              <w:t>Special Attribute</w:t>
            </w:r>
          </w:p>
        </w:tc>
      </w:tr>
      <w:tr>
        <w:tc>
          <w:tcPr>
            <w:tcW w:type="dxa" w:w="1728"/>
          </w:tcPr>
          <w:p>
            <w:r>
              <w:t>Flame Sword</w:t>
            </w:r>
          </w:p>
        </w:tc>
        <w:tc>
          <w:tcPr>
            <w:tcW w:type="dxa" w:w="1728"/>
          </w:tcPr>
          <w:p>
            <w:r>
              <w:t>Weapon</w:t>
            </w:r>
          </w:p>
        </w:tc>
        <w:tc>
          <w:tcPr>
            <w:tcW w:type="dxa" w:w="1728"/>
          </w:tcPr>
          <w:p>
            <w:r>
              <w:t>150.00</w:t>
            </w:r>
          </w:p>
        </w:tc>
        <w:tc>
          <w:tcPr>
            <w:tcW w:type="dxa" w:w="1728"/>
          </w:tcPr>
          <w:p>
            <w:r>
              <w:t>5</w:t>
            </w:r>
          </w:p>
        </w:tc>
        <w:tc>
          <w:tcPr>
            <w:tcW w:type="dxa" w:w="1728"/>
          </w:tcPr>
          <w:p>
            <w:r>
              <w:t>Damage: 35</w:t>
            </w:r>
          </w:p>
        </w:tc>
      </w:tr>
      <w:tr>
        <w:tc>
          <w:tcPr>
            <w:tcW w:type="dxa" w:w="1728"/>
          </w:tcPr>
          <w:p>
            <w:r>
              <w:t>Shadow Dagger</w:t>
            </w:r>
          </w:p>
        </w:tc>
        <w:tc>
          <w:tcPr>
            <w:tcW w:type="dxa" w:w="1728"/>
          </w:tcPr>
          <w:p>
            <w:r>
              <w:t>Weapon</w:t>
            </w:r>
          </w:p>
        </w:tc>
        <w:tc>
          <w:tcPr>
            <w:tcW w:type="dxa" w:w="1728"/>
          </w:tcPr>
          <w:p>
            <w:r>
              <w:t>85.00</w:t>
            </w:r>
          </w:p>
        </w:tc>
        <w:tc>
          <w:tcPr>
            <w:tcW w:type="dxa" w:w="1728"/>
          </w:tcPr>
          <w:p>
            <w:r>
              <w:t>8</w:t>
            </w:r>
          </w:p>
        </w:tc>
        <w:tc>
          <w:tcPr>
            <w:tcW w:type="dxa" w:w="1728"/>
          </w:tcPr>
          <w:p>
            <w:r>
              <w:t>Damage: 20</w:t>
            </w:r>
          </w:p>
        </w:tc>
      </w:tr>
      <w:tr>
        <w:tc>
          <w:tcPr>
            <w:tcW w:type="dxa" w:w="1728"/>
          </w:tcPr>
          <w:p>
            <w:r>
              <w:t>Iron Shield</w:t>
            </w:r>
          </w:p>
        </w:tc>
        <w:tc>
          <w:tcPr>
            <w:tcW w:type="dxa" w:w="1728"/>
          </w:tcPr>
          <w:p>
            <w:r>
              <w:t>Armor</w:t>
            </w:r>
          </w:p>
        </w:tc>
        <w:tc>
          <w:tcPr>
            <w:tcW w:type="dxa" w:w="1728"/>
          </w:tcPr>
          <w:p>
            <w:r>
              <w:t>120.00</w:t>
            </w:r>
          </w:p>
        </w:tc>
        <w:tc>
          <w:tcPr>
            <w:tcW w:type="dxa" w:w="1728"/>
          </w:tcPr>
          <w:p>
            <w:r>
              <w:t>4</w:t>
            </w:r>
          </w:p>
        </w:tc>
        <w:tc>
          <w:tcPr>
            <w:tcW w:type="dxa" w:w="1728"/>
          </w:tcPr>
          <w:p>
            <w:r>
              <w:t>Defense: 30</w:t>
            </w:r>
          </w:p>
        </w:tc>
      </w:tr>
      <w:tr>
        <w:tc>
          <w:tcPr>
            <w:tcW w:type="dxa" w:w="1728"/>
          </w:tcPr>
          <w:p>
            <w:r>
              <w:t>Dragon Scale Chestplate</w:t>
            </w:r>
          </w:p>
        </w:tc>
        <w:tc>
          <w:tcPr>
            <w:tcW w:type="dxa" w:w="1728"/>
          </w:tcPr>
          <w:p>
            <w:r>
              <w:t>Armor</w:t>
            </w:r>
          </w:p>
        </w:tc>
        <w:tc>
          <w:tcPr>
            <w:tcW w:type="dxa" w:w="1728"/>
          </w:tcPr>
          <w:p>
            <w:r>
              <w:t>250.00</w:t>
            </w:r>
          </w:p>
        </w:tc>
        <w:tc>
          <w:tcPr>
            <w:tcW w:type="dxa" w:w="1728"/>
          </w:tcPr>
          <w:p>
            <w:r>
              <w:t>3</w:t>
            </w:r>
          </w:p>
        </w:tc>
        <w:tc>
          <w:tcPr>
            <w:tcW w:type="dxa" w:w="1728"/>
          </w:tcPr>
          <w:p>
            <w:r>
              <w:t>Defense: 50</w:t>
            </w:r>
          </w:p>
        </w:tc>
      </w:tr>
      <w:tr>
        <w:tc>
          <w:tcPr>
            <w:tcW w:type="dxa" w:w="1728"/>
          </w:tcPr>
          <w:p>
            <w:r>
              <w:t>Healing Potion</w:t>
            </w:r>
          </w:p>
        </w:tc>
        <w:tc>
          <w:tcPr>
            <w:tcW w:type="dxa" w:w="1728"/>
          </w:tcPr>
          <w:p>
            <w:r>
              <w:t>Health</w:t>
            </w:r>
          </w:p>
        </w:tc>
        <w:tc>
          <w:tcPr>
            <w:tcW w:type="dxa" w:w="1728"/>
          </w:tcPr>
          <w:p>
            <w:r>
              <w:t>25.00</w:t>
            </w:r>
          </w:p>
        </w:tc>
        <w:tc>
          <w:tcPr>
            <w:tcW w:type="dxa" w:w="1728"/>
          </w:tcPr>
          <w:p>
            <w:r>
              <w:t>15</w:t>
            </w:r>
          </w:p>
        </w:tc>
        <w:tc>
          <w:tcPr>
            <w:tcW w:type="dxa" w:w="1728"/>
          </w:tcPr>
          <w:p>
            <w:r>
              <w:t>Heal: 50 HP</w:t>
            </w:r>
          </w:p>
        </w:tc>
      </w:tr>
      <w:tr>
        <w:tc>
          <w:tcPr>
            <w:tcW w:type="dxa" w:w="1728"/>
          </w:tcPr>
          <w:p>
            <w:r>
              <w:t>Elixir of Life</w:t>
            </w:r>
          </w:p>
        </w:tc>
        <w:tc>
          <w:tcPr>
            <w:tcW w:type="dxa" w:w="1728"/>
          </w:tcPr>
          <w:p>
            <w:r>
              <w:t>Health</w:t>
            </w:r>
          </w:p>
        </w:tc>
        <w:tc>
          <w:tcPr>
            <w:tcW w:type="dxa" w:w="1728"/>
          </w:tcPr>
          <w:p>
            <w:r>
              <w:t>75.00</w:t>
            </w:r>
          </w:p>
        </w:tc>
        <w:tc>
          <w:tcPr>
            <w:tcW w:type="dxa" w:w="1728"/>
          </w:tcPr>
          <w:p>
            <w:r>
              <w:t>5</w:t>
            </w:r>
          </w:p>
        </w:tc>
        <w:tc>
          <w:tcPr>
            <w:tcW w:type="dxa" w:w="1728"/>
          </w:tcPr>
          <w:p>
            <w:r>
              <w:t>Heal: 100 HP</w:t>
            </w:r>
          </w:p>
        </w:tc>
      </w:tr>
    </w:tbl>
    <w:p/>
    <w:p>
      <w:pPr>
        <w:pStyle w:val="Heading3"/>
      </w:pPr>
      <w:r>
        <w:t>Target Customer:</w:t>
      </w:r>
    </w:p>
    <w:p>
      <w:r>
        <w:t>The target customer is an in-game player character — an adventurer in their early 20s whose interests include questing, monster hunting, and fighting dragons. They visit the Game Item Shop to gear up before heading out on their next adventure, looking for the best weapons, sturdiest armor, and most potent healing potions the shopkeeper has to offer.</w:t>
      </w:r>
    </w:p>
    <w:p>
      <w:pPr>
        <w:pStyle w:val="Heading3"/>
      </w:pPr>
      <w:r>
        <w:t>ASCII Art Shopkeeper:</w:t>
      </w:r>
    </w:p>
    <w:p>
      <w:r>
        <w:t>On startup, the application displays an ASCII art shopkeeper along with a thematic welcome message. This creates an immersive experience as if the player is walking into a real game shop:</w:t>
      </w:r>
    </w:p>
    <w:p>
      <w:pPr>
        <w:jc w:val="center"/>
      </w:pPr>
      <w:r>
        <w:drawing>
          <wp:inline xmlns:a="http://schemas.openxmlformats.org/drawingml/2006/main" xmlns:pic="http://schemas.openxmlformats.org/drawingml/2006/picture">
            <wp:extent cx="5029200" cy="3855609"/>
            <wp:docPr id="1" name="Picture 1"/>
            <wp:cNvGraphicFramePr>
              <a:graphicFrameLocks noChangeAspect="1"/>
            </wp:cNvGraphicFramePr>
            <a:graphic>
              <a:graphicData uri="http://schemas.openxmlformats.org/drawingml/2006/picture">
                <pic:pic>
                  <pic:nvPicPr>
                    <pic:cNvPr id="0" name="screenshot_welcome.png"/>
                    <pic:cNvPicPr/>
                  </pic:nvPicPr>
                  <pic:blipFill>
                    <a:blip r:embed="rId9"/>
                    <a:stretch>
                      <a:fillRect/>
                    </a:stretch>
                  </pic:blipFill>
                  <pic:spPr>
                    <a:xfrm>
                      <a:off x="0" y="0"/>
                      <a:ext cx="5029200" cy="3855609"/>
                    </a:xfrm>
                    <a:prstGeom prst="rect"/>
                  </pic:spPr>
                </pic:pic>
              </a:graphicData>
            </a:graphic>
          </wp:inline>
        </w:drawing>
      </w:r>
    </w:p>
    <w:p>
      <w:pPr>
        <w:pStyle w:val="Heading2"/>
      </w:pPr>
      <w:r>
        <w:t>2. UML Class Diagram</w:t>
      </w:r>
    </w:p>
    <w:p>
      <w:r>
        <w:t>The following UML class diagram was generated using PlantUML and shows the inheritance hierarchy of the salable product classes. SalableProduct is the base class containing Name, Description, Price, and Quantity. The three subclasses — Weapon, Armor, and Health — each extend SalableProduct with a domain-specific attribute (damage, defense, and healAmount, respectively).</w:t>
      </w:r>
    </w:p>
    <w:p>
      <w:pPr>
        <w:pStyle w:val="Heading3"/>
      </w:pPr>
      <w:r>
        <w:t>Product Class Hierarchy:</w:t>
      </w:r>
    </w:p>
    <w:p>
      <w:pPr>
        <w:jc w:val="center"/>
      </w:pPr>
      <w:r>
        <w:drawing>
          <wp:inline xmlns:a="http://schemas.openxmlformats.org/drawingml/2006/main" xmlns:pic="http://schemas.openxmlformats.org/drawingml/2006/picture">
            <wp:extent cx="5486400" cy="2721935"/>
            <wp:docPr id="2" name="Picture 2"/>
            <wp:cNvGraphicFramePr>
              <a:graphicFrameLocks noChangeAspect="1"/>
            </wp:cNvGraphicFramePr>
            <a:graphic>
              <a:graphicData uri="http://schemas.openxmlformats.org/drawingml/2006/picture">
                <pic:pic>
                  <pic:nvPicPr>
                    <pic:cNvPr id="0" name="uml_class_hierarchy.png"/>
                    <pic:cNvPicPr/>
                  </pic:nvPicPr>
                  <pic:blipFill>
                    <a:blip r:embed="rId10"/>
                    <a:stretch>
                      <a:fillRect/>
                    </a:stretch>
                  </pic:blipFill>
                  <pic:spPr>
                    <a:xfrm>
                      <a:off x="0" y="0"/>
                      <a:ext cx="5486400" cy="2721935"/>
                    </a:xfrm>
                    <a:prstGeom prst="rect"/>
                  </pic:spPr>
                </pic:pic>
              </a:graphicData>
            </a:graphic>
          </wp:inline>
        </w:drawing>
      </w:r>
    </w:p>
    <w:p/>
    <w:p>
      <w:pPr>
        <w:pStyle w:val="Heading3"/>
      </w:pPr>
      <w:r>
        <w:t>Application Structure:</w:t>
      </w:r>
    </w:p>
    <w:p>
      <w:r>
        <w:t>This diagram shows the relationships between all classes in the application. Main creates a StoreFront and StartingActions. StartingActions routes to either CustomerActions or StoreManagerActions. Both action classes use the StoreFront for inventory operations and InputUtilities for reading user input.</w:t>
      </w:r>
    </w:p>
    <w:p>
      <w:pPr>
        <w:jc w:val="center"/>
      </w:pPr>
      <w:r>
        <w:drawing>
          <wp:inline xmlns:a="http://schemas.openxmlformats.org/drawingml/2006/main" xmlns:pic="http://schemas.openxmlformats.org/drawingml/2006/picture">
            <wp:extent cx="4572000" cy="5539154"/>
            <wp:docPr id="3" name="Picture 3"/>
            <wp:cNvGraphicFramePr>
              <a:graphicFrameLocks noChangeAspect="1"/>
            </wp:cNvGraphicFramePr>
            <a:graphic>
              <a:graphicData uri="http://schemas.openxmlformats.org/drawingml/2006/picture">
                <pic:pic>
                  <pic:nvPicPr>
                    <pic:cNvPr id="0" name="uml_app_structure.png"/>
                    <pic:cNvPicPr/>
                  </pic:nvPicPr>
                  <pic:blipFill>
                    <a:blip r:embed="rId11"/>
                    <a:stretch>
                      <a:fillRect/>
                    </a:stretch>
                  </pic:blipFill>
                  <pic:spPr>
                    <a:xfrm>
                      <a:off x="0" y="0"/>
                      <a:ext cx="4572000" cy="5539154"/>
                    </a:xfrm>
                    <a:prstGeom prst="rect"/>
                  </pic:spPr>
                </pic:pic>
              </a:graphicData>
            </a:graphic>
          </wp:inline>
        </w:drawing>
      </w:r>
    </w:p>
    <w:p>
      <w:pPr>
        <w:pStyle w:val="Heading2"/>
      </w:pPr>
      <w:r>
        <w:t>3. User Experience Flowchart</w:t>
      </w:r>
    </w:p>
    <w:p>
      <w:r>
        <w:t>The following flowchart was generated using PlantUML and illustrates the interaction flow when a game user interacts with the Game Item Shop. It shows the welcome screen, role selection (customer vs. manager), the customer menu loop with all available actions (view products, purchase with stock validation, return items), and the exit flow.</w:t>
      </w:r>
    </w:p>
    <w:p>
      <w:pPr>
        <w:jc w:val="center"/>
      </w:pPr>
      <w:r>
        <w:drawing>
          <wp:inline xmlns:a="http://schemas.openxmlformats.org/drawingml/2006/main" xmlns:pic="http://schemas.openxmlformats.org/drawingml/2006/picture">
            <wp:extent cx="5029200" cy="3408415"/>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029200" cy="3408415"/>
                    </a:xfrm>
                    <a:prstGeom prst="rect"/>
                  </pic:spPr>
                </pic:pic>
              </a:graphicData>
            </a:graphic>
          </wp:inline>
        </w:drawing>
      </w:r>
    </w:p>
    <w:p>
      <w:pPr>
        <w:pStyle w:val="Heading2"/>
      </w:pPr>
      <w:r>
        <w:t>4. Code Implementation</w:t>
      </w:r>
    </w:p>
    <w:p>
      <w:r>
        <w:t>The following new classes were created for Milestone 2:</w:t>
      </w:r>
    </w:p>
    <w:p>
      <w:pPr>
        <w:pStyle w:val="Heading3"/>
      </w:pPr>
      <w:r>
        <w:t>SalableProduct (Base Class)</w:t>
      </w:r>
    </w:p>
    <w:p>
      <w:r>
        <w:t>The SalableProduct class is the base class for all products in the Game Item Shop. It encapsulates the four common attributes — name, description, price, and quantity — with full getter/setter methods and a formatted toString() method for console display. Located in package: com.bschoolland.models</w:t>
      </w:r>
    </w:p>
    <w:p>
      <w:pPr>
        <w:pStyle w:val="Heading3"/>
      </w:pPr>
      <w:r>
        <w:t>Weapon (extends SalableProduct)</w:t>
      </w:r>
    </w:p>
    <w:p>
      <w:r>
        <w:t>The Weapon class extends SalableProduct and adds a damage attribute representing how much damage the weapon deals per hit. The store stocks two weapons: Flame Sword (35 damage, 150 gold) and Shadow Dagger (20 damage, 85 gold). Located in package: com.bschoolland.models</w:t>
      </w:r>
    </w:p>
    <w:p>
      <w:pPr>
        <w:pStyle w:val="Heading3"/>
      </w:pPr>
      <w:r>
        <w:t>Armor (extends SalableProduct)</w:t>
      </w:r>
    </w:p>
    <w:p>
      <w:r>
        <w:t>The Armor class extends SalableProduct and adds a defense attribute representing how much damage the armor absorbs. The store stocks two armor pieces: Iron Shield (30 defense, 120 gold) and Dragon Scale Chestplate (50 defense, 250 gold). Located in package: com.bschoolland.models</w:t>
      </w:r>
    </w:p>
    <w:p>
      <w:pPr>
        <w:pStyle w:val="Heading3"/>
      </w:pPr>
      <w:r>
        <w:t>Health (extends SalableProduct)</w:t>
      </w:r>
    </w:p>
    <w:p>
      <w:r>
        <w:t>The Health class extends SalableProduct and adds a healAmount attribute representing how many hit points the item restores. The store stocks two health items: Healing Potion (50 HP, 25 gold) and Elixir of Life (100 HP, 75 gold). Located in package: com.bschoolland.models</w:t>
      </w:r>
    </w:p>
    <w:p>
      <w:pPr>
        <w:pStyle w:val="Heading3"/>
      </w:pPr>
      <w:r>
        <w:t>StoreFront (Updated)</w:t>
      </w:r>
    </w:p>
    <w:p>
      <w:r>
        <w:t>The StoreFront class was updated from its Milestone 1 skeleton to fully manage the store inventory. It initializes a hard-coded list of 6 products (2 weapons, 2 armor, 2 health items), and provides methods for displaying products in a formatted table, purchasing items (with stock validation), and returning items. Located in package: com.bschoolland.services</w:t>
      </w:r>
    </w:p>
    <w:p>
      <w:pPr>
        <w:pStyle w:val="Heading3"/>
      </w:pPr>
      <w:r>
        <w:t>CustomerActions (Updated)</w:t>
      </w:r>
    </w:p>
    <w:p>
      <w:r>
        <w:t>CustomerActions was updated from placeholder messages to a fully functional customer flow. It presents a themed menu (Browse Wares, Buy an Item, Return an Item, Leave the Shop), calls StoreFront methods for each action, and provides thematic shopkeeper dialogue as feedback. Located in package: com.bschoolland</w:t>
      </w:r>
    </w:p>
    <w:p>
      <w:pPr>
        <w:pStyle w:val="Heading2"/>
      </w:pPr>
      <w:r>
        <w:t>5. Program Execution and Documentation</w:t>
      </w:r>
    </w:p>
    <w:p>
      <w:r>
        <w:t>The following screenshots demonstrate the program running with all menu actions working. JavaDoc documentation was generated for all classes and methods using Maven.</w:t>
      </w:r>
    </w:p>
    <w:p>
      <w:pPr>
        <w:pStyle w:val="Heading3"/>
      </w:pPr>
      <w:r>
        <w:t>Customer Menu:</w:t>
      </w:r>
    </w:p>
    <w:p>
      <w:pPr>
        <w:jc w:val="center"/>
      </w:pPr>
      <w:r>
        <w:drawing>
          <wp:inline xmlns:a="http://schemas.openxmlformats.org/drawingml/2006/main" xmlns:pic="http://schemas.openxmlformats.org/drawingml/2006/picture">
            <wp:extent cx="5029200" cy="1558157"/>
            <wp:docPr id="5" name="Picture 5"/>
            <wp:cNvGraphicFramePr>
              <a:graphicFrameLocks noChangeAspect="1"/>
            </wp:cNvGraphicFramePr>
            <a:graphic>
              <a:graphicData uri="http://schemas.openxmlformats.org/drawingml/2006/picture">
                <pic:pic>
                  <pic:nvPicPr>
                    <pic:cNvPr id="0" name="screenshot_menu.png"/>
                    <pic:cNvPicPr/>
                  </pic:nvPicPr>
                  <pic:blipFill>
                    <a:blip r:embed="rId13"/>
                    <a:stretch>
                      <a:fillRect/>
                    </a:stretch>
                  </pic:blipFill>
                  <pic:spPr>
                    <a:xfrm>
                      <a:off x="0" y="0"/>
                      <a:ext cx="5029200" cy="1558157"/>
                    </a:xfrm>
                    <a:prstGeom prst="rect"/>
                  </pic:spPr>
                </pic:pic>
              </a:graphicData>
            </a:graphic>
          </wp:inline>
        </w:drawing>
      </w:r>
    </w:p>
    <w:p>
      <w:pPr>
        <w:pStyle w:val="Heading3"/>
      </w:pPr>
      <w:r>
        <w:t>Browse Wares (View Products):</w:t>
      </w:r>
    </w:p>
    <w:p>
      <w:pPr>
        <w:jc w:val="center"/>
      </w:pPr>
      <w:r>
        <w:drawing>
          <wp:inline xmlns:a="http://schemas.openxmlformats.org/drawingml/2006/main" xmlns:pic="http://schemas.openxmlformats.org/drawingml/2006/picture">
            <wp:extent cx="5486400" cy="1303571"/>
            <wp:docPr id="6" name="Picture 6"/>
            <wp:cNvGraphicFramePr>
              <a:graphicFrameLocks noChangeAspect="1"/>
            </wp:cNvGraphicFramePr>
            <a:graphic>
              <a:graphicData uri="http://schemas.openxmlformats.org/drawingml/2006/picture">
                <pic:pic>
                  <pic:nvPicPr>
                    <pic:cNvPr id="0" name="screenshot_view.png"/>
                    <pic:cNvPicPr/>
                  </pic:nvPicPr>
                  <pic:blipFill>
                    <a:blip r:embed="rId14"/>
                    <a:stretch>
                      <a:fillRect/>
                    </a:stretch>
                  </pic:blipFill>
                  <pic:spPr>
                    <a:xfrm>
                      <a:off x="0" y="0"/>
                      <a:ext cx="5486400" cy="1303571"/>
                    </a:xfrm>
                    <a:prstGeom prst="rect"/>
                  </pic:spPr>
                </pic:pic>
              </a:graphicData>
            </a:graphic>
          </wp:inline>
        </w:drawing>
      </w:r>
    </w:p>
    <w:p>
      <w:pPr>
        <w:pStyle w:val="Heading3"/>
      </w:pPr>
      <w:r>
        <w:t>Buy an Item (Purchase):</w:t>
      </w:r>
    </w:p>
    <w:p>
      <w:pPr>
        <w:jc w:val="center"/>
      </w:pPr>
      <w:r>
        <w:drawing>
          <wp:inline xmlns:a="http://schemas.openxmlformats.org/drawingml/2006/main" xmlns:pic="http://schemas.openxmlformats.org/drawingml/2006/picture">
            <wp:extent cx="5486400" cy="1816706"/>
            <wp:docPr id="7" name="Picture 7"/>
            <wp:cNvGraphicFramePr>
              <a:graphicFrameLocks noChangeAspect="1"/>
            </wp:cNvGraphicFramePr>
            <a:graphic>
              <a:graphicData uri="http://schemas.openxmlformats.org/drawingml/2006/picture">
                <pic:pic>
                  <pic:nvPicPr>
                    <pic:cNvPr id="0" name="screenshot_purchase.png"/>
                    <pic:cNvPicPr/>
                  </pic:nvPicPr>
                  <pic:blipFill>
                    <a:blip r:embed="rId15"/>
                    <a:stretch>
                      <a:fillRect/>
                    </a:stretch>
                  </pic:blipFill>
                  <pic:spPr>
                    <a:xfrm>
                      <a:off x="0" y="0"/>
                      <a:ext cx="5486400" cy="1816706"/>
                    </a:xfrm>
                    <a:prstGeom prst="rect"/>
                  </pic:spPr>
                </pic:pic>
              </a:graphicData>
            </a:graphic>
          </wp:inline>
        </w:drawing>
      </w:r>
    </w:p>
    <w:p>
      <w:pPr>
        <w:pStyle w:val="Heading3"/>
      </w:pPr>
      <w:r>
        <w:t>Return an Item:</w:t>
      </w:r>
    </w:p>
    <w:p>
      <w:pPr>
        <w:jc w:val="center"/>
      </w:pPr>
      <w:r>
        <w:drawing>
          <wp:inline xmlns:a="http://schemas.openxmlformats.org/drawingml/2006/main" xmlns:pic="http://schemas.openxmlformats.org/drawingml/2006/picture">
            <wp:extent cx="5486400" cy="1731183"/>
            <wp:docPr id="8" name="Picture 8"/>
            <wp:cNvGraphicFramePr>
              <a:graphicFrameLocks noChangeAspect="1"/>
            </wp:cNvGraphicFramePr>
            <a:graphic>
              <a:graphicData uri="http://schemas.openxmlformats.org/drawingml/2006/picture">
                <pic:pic>
                  <pic:nvPicPr>
                    <pic:cNvPr id="0" name="screenshot_return.png"/>
                    <pic:cNvPicPr/>
                  </pic:nvPicPr>
                  <pic:blipFill>
                    <a:blip r:embed="rId16"/>
                    <a:stretch>
                      <a:fillRect/>
                    </a:stretch>
                  </pic:blipFill>
                  <pic:spPr>
                    <a:xfrm>
                      <a:off x="0" y="0"/>
                      <a:ext cx="5486400" cy="1731183"/>
                    </a:xfrm>
                    <a:prstGeom prst="rect"/>
                  </pic:spPr>
                </pic:pic>
              </a:graphicData>
            </a:graphic>
          </wp:inline>
        </w:drawing>
      </w:r>
    </w:p>
    <w:p>
      <w:pPr>
        <w:pStyle w:val="Heading3"/>
      </w:pPr>
      <w:r>
        <w:t>Leave the Shop (Exit):</w:t>
      </w:r>
    </w:p>
    <w:p>
      <w:pPr>
        <w:jc w:val="center"/>
      </w:pPr>
      <w:r>
        <w:drawing>
          <wp:inline xmlns:a="http://schemas.openxmlformats.org/drawingml/2006/main" xmlns:pic="http://schemas.openxmlformats.org/drawingml/2006/picture">
            <wp:extent cx="4572000" cy="955388"/>
            <wp:docPr id="9" name="Picture 9"/>
            <wp:cNvGraphicFramePr>
              <a:graphicFrameLocks noChangeAspect="1"/>
            </wp:cNvGraphicFramePr>
            <a:graphic>
              <a:graphicData uri="http://schemas.openxmlformats.org/drawingml/2006/picture">
                <pic:pic>
                  <pic:nvPicPr>
                    <pic:cNvPr id="0" name="screenshot_exit.png"/>
                    <pic:cNvPicPr/>
                  </pic:nvPicPr>
                  <pic:blipFill>
                    <a:blip r:embed="rId17"/>
                    <a:stretch>
                      <a:fillRect/>
                    </a:stretch>
                  </pic:blipFill>
                  <pic:spPr>
                    <a:xfrm>
                      <a:off x="0" y="0"/>
                      <a:ext cx="4572000" cy="955388"/>
                    </a:xfrm>
                    <a:prstGeom prst="rect"/>
                  </pic:spPr>
                </pic:pic>
              </a:graphicData>
            </a:graphic>
          </wp:inline>
        </w:drawing>
      </w:r>
    </w:p>
    <w:p>
      <w:pPr>
        <w:pStyle w:val="Heading2"/>
      </w:pPr>
      <w:r>
        <w:t>6. Screencast Video</w:t>
      </w:r>
    </w:p>
    <w:p>
      <w:r>
        <w:t>Link to screencast video: [TO BE ADDED]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