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B092A">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B092A">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B092A">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B092A">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BB092A">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B092A">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B092A">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BB092A">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B092A">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B092A">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B092A">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BB092A">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B092A">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B092A">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BB092A">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B092A">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BB092A">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B092A">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BB092A">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 xml:space="preserve">A Melee Assault is “from the shadows” when no enemy unit had a line of sight to the attacker in their round. When a unit on </w:t>
      </w:r>
      <w:proofErr w:type="spellStart"/>
      <w:r>
        <w:t>overwatch</w:t>
      </w:r>
      <w:proofErr w:type="spellEnd"/>
      <w:r>
        <w:t xml:space="preserve">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7A703E" w:rsidRPr="007A703E" w:rsidRDefault="007A703E" w:rsidP="00074811">
      <w:r>
        <w:t xml:space="preserve">When attacking an enemy that hasn’t seen you in their round, your attack becomes a </w:t>
      </w:r>
      <w:r>
        <w:rPr>
          <w:i/>
        </w:rPr>
        <w:t>surprise attack</w:t>
      </w:r>
      <w:r>
        <w:t>.</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75626B" w:rsidRPr="007A703E" w:rsidRDefault="0075626B" w:rsidP="0075626B">
      <w:r>
        <w:lastRenderedPageBreak/>
        <w:t xml:space="preserve">When attacking an enemy that hasn’t seen you in their round, your attack becomes a </w:t>
      </w:r>
      <w:r>
        <w:rPr>
          <w:i/>
        </w:rPr>
        <w:t>surprise attack</w:t>
      </w:r>
      <w:r>
        <w:t>.</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C532EF" w:rsidRPr="00717B7C" w:rsidRDefault="00074811" w:rsidP="00717B7C">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lastRenderedPageBreak/>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19" w:name="_Toc448239569"/>
      <w:r>
        <w:t>Weapons</w:t>
      </w:r>
      <w:bookmarkEnd w:id="19"/>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C823E9" w:rsidP="00F4682C">
      <w:pPr>
        <w:pStyle w:val="Heading3"/>
      </w:pPr>
      <w:r>
        <w:t>Rend(x)</w:t>
      </w:r>
    </w:p>
    <w:p w:rsidR="00F4682C" w:rsidRDefault="00FC2400" w:rsidP="00F4682C">
      <w:r>
        <w:t>Ren</w:t>
      </w:r>
      <w:r w:rsidR="00ED7C64">
        <w:t>d is applied on a successful wound</w:t>
      </w:r>
      <w:r w:rsidR="00DA3848">
        <w:t xml:space="preserve"> before Armor-Rolls</w:t>
      </w:r>
      <w:r>
        <w:t xml:space="preserve">. </w:t>
      </w:r>
      <w:r w:rsidR="00F4682C">
        <w:t xml:space="preserve">This effect deals damage at the </w:t>
      </w:r>
      <w:r w:rsidR="00C823E9">
        <w:t xml:space="preserve">next two </w:t>
      </w:r>
      <w:r w:rsidR="00F4682C">
        <w:t>beginning</w:t>
      </w:r>
      <w:r w:rsidR="00C823E9">
        <w:t>s</w:t>
      </w:r>
      <w:r w:rsidR="00F4682C">
        <w:t xml:space="preserve"> of each round</w:t>
      </w:r>
      <w:r w:rsidR="00C823E9">
        <w:t>. The affected enemy ta</w:t>
      </w:r>
      <w:r w:rsidR="00BB092A">
        <w:t>kes a (</w:t>
      </w:r>
      <w:r w:rsidR="00C823E9">
        <w:t>x</w:t>
      </w:r>
      <w:r w:rsidR="00BB092A">
        <w:t>)D</w:t>
      </w:r>
      <w:r w:rsidR="00C823E9">
        <w:t xml:space="preserve"> hit. This can stack if it’s </w:t>
      </w:r>
      <w:r w:rsidR="00C823E9">
        <w:rPr>
          <w:i/>
        </w:rPr>
        <w:t>Rend X (x).</w:t>
      </w:r>
      <w:r w:rsidR="000B7064">
        <w:rPr>
          <w:i/>
        </w:rPr>
        <w:t xml:space="preserve"> </w:t>
      </w:r>
      <w:r w:rsidR="000B7064">
        <w:t xml:space="preserve">Not affected by </w:t>
      </w:r>
      <w:r w:rsidR="000B7064">
        <w:rPr>
          <w:i/>
        </w:rPr>
        <w:t>Critical</w:t>
      </w:r>
      <w:r w:rsidR="001B11A6">
        <w:rPr>
          <w:i/>
        </w:rPr>
        <w:t xml:space="preserve"> </w:t>
      </w:r>
      <w:r w:rsidR="001B11A6" w:rsidRPr="001B11A6">
        <w:t>or</w:t>
      </w:r>
      <w:r w:rsidR="000B7064">
        <w:t xml:space="preserve"> </w:t>
      </w:r>
      <w:r w:rsidR="000B7064">
        <w:rPr>
          <w:i/>
        </w:rPr>
        <w:t>Armor</w:t>
      </w:r>
      <w:r w:rsidR="000B7064">
        <w:t>.</w:t>
      </w:r>
      <w:bookmarkStart w:id="20" w:name="_GoBack"/>
      <w:bookmarkEnd w:id="20"/>
    </w:p>
    <w:p w:rsidR="005A04A4" w:rsidRDefault="005A04A4" w:rsidP="005A04A4">
      <w:pPr>
        <w:pStyle w:val="Heading3"/>
      </w:pPr>
      <w:r>
        <w:t>Slowing</w:t>
      </w:r>
    </w:p>
    <w:p w:rsidR="005A04A4" w:rsidRPr="000B7064" w:rsidRDefault="000E1C9B" w:rsidP="00F4682C">
      <w:r>
        <w:t>Slow is applied on a successful wound before Armor-Rolls. The target moves only</w:t>
      </w:r>
      <w:r w:rsidR="005A04A4">
        <w:t xml:space="preserve"> 50% of its normal movement with all movement actions, except all kinds of teleportation</w:t>
      </w:r>
      <w:r w:rsidR="00F0431D">
        <w:t>, for one round</w:t>
      </w:r>
      <w:r w:rsidR="005A04A4">
        <w:t>.</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lastRenderedPageBreak/>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 xml:space="preserve">Wide </w:t>
      </w:r>
      <w:r w:rsidR="00F93E9E">
        <w:t>Reach</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06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1C9B"/>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1A6"/>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2F0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95C3B"/>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4A4"/>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2BE3"/>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26B"/>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03E"/>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092A"/>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1DF"/>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23E9"/>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848"/>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DF7C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6E5"/>
    <w:rsid w:val="00EB6745"/>
    <w:rsid w:val="00EB7169"/>
    <w:rsid w:val="00EB7D4F"/>
    <w:rsid w:val="00EC0806"/>
    <w:rsid w:val="00EC0C65"/>
    <w:rsid w:val="00EC0E4F"/>
    <w:rsid w:val="00EC1D55"/>
    <w:rsid w:val="00EC399C"/>
    <w:rsid w:val="00ED250C"/>
    <w:rsid w:val="00ED3BDD"/>
    <w:rsid w:val="00ED6662"/>
    <w:rsid w:val="00ED6B47"/>
    <w:rsid w:val="00ED76C8"/>
    <w:rsid w:val="00ED7C64"/>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31D"/>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9E"/>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400"/>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BC"/>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077E"/>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37F416-059F-4D82-AAFA-B7D96933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2399</Words>
  <Characters>15118</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107</cp:revision>
  <dcterms:created xsi:type="dcterms:W3CDTF">2016-03-27T16:27:00Z</dcterms:created>
  <dcterms:modified xsi:type="dcterms:W3CDTF">2016-06-29T18:17:00Z</dcterms:modified>
</cp:coreProperties>
</file>