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AC" w:rsidRDefault="00802EAC" w:rsidP="00802EAC">
      <w:r>
        <w:t xml:space="preserve">Mme </w:t>
      </w:r>
      <w:proofErr w:type="spellStart"/>
      <w:r>
        <w:t>Farez</w:t>
      </w:r>
      <w:proofErr w:type="spellEnd"/>
      <w:r>
        <w:t xml:space="preserve"> désirerait aussi valider le choix du serveur physique destiné à accueillir le serveur VPN dans une machine virtuelle. Elle s’inquiète notamment de savoir </w:t>
      </w:r>
      <w:proofErr w:type="spellStart"/>
      <w:r>
        <w:t>siles</w:t>
      </w:r>
      <w:proofErr w:type="spellEnd"/>
      <w:r>
        <w:t xml:space="preserve"> différents paramètres ayant concouru à la détermination du TCO </w:t>
      </w:r>
      <w:r w:rsidRPr="002B428F">
        <w:t>(</w:t>
      </w:r>
      <w:r w:rsidRPr="00B65333">
        <w:rPr>
          <w:i/>
        </w:rPr>
        <w:t xml:space="preserve">total </w:t>
      </w:r>
      <w:proofErr w:type="spellStart"/>
      <w:r w:rsidRPr="00B65333">
        <w:rPr>
          <w:i/>
        </w:rPr>
        <w:t>cost</w:t>
      </w:r>
      <w:proofErr w:type="spellEnd"/>
      <w:r w:rsidRPr="00B65333">
        <w:rPr>
          <w:i/>
        </w:rPr>
        <w:t xml:space="preserve"> of </w:t>
      </w:r>
      <w:proofErr w:type="spellStart"/>
      <w:r w:rsidRPr="00B65333">
        <w:rPr>
          <w:i/>
        </w:rPr>
        <w:t>ownership</w:t>
      </w:r>
      <w:r w:rsidRPr="002B428F">
        <w:t>ou</w:t>
      </w:r>
      <w:proofErr w:type="spellEnd"/>
      <w:r w:rsidRPr="002B428F">
        <w:t xml:space="preserve"> coût total de possession</w:t>
      </w:r>
      <w:r>
        <w:t>) et de la valeur actuelle nette, ont été correctement évalués.</w:t>
      </w:r>
    </w:p>
    <w:p w:rsidR="00802EAC" w:rsidRDefault="00802EAC" w:rsidP="00802EAC"/>
    <w:p w:rsidR="00802EAC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Question B.2.2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 xml:space="preserve">Rédiger, en argumentant, les éléments de réponse aux questions que Mme </w:t>
      </w:r>
      <w:proofErr w:type="spellStart"/>
      <w:r w:rsidRPr="000B3BFE">
        <w:rPr>
          <w:rFonts w:asciiTheme="minorHAnsi" w:hAnsiTheme="minorHAnsi" w:cstheme="minorHAnsi"/>
          <w:b/>
        </w:rPr>
        <w:t>Farez</w:t>
      </w:r>
      <w:proofErr w:type="spellEnd"/>
      <w:r w:rsidRPr="000B3BFE">
        <w:rPr>
          <w:rFonts w:asciiTheme="minorHAnsi" w:hAnsiTheme="minorHAnsi" w:cstheme="minorHAnsi"/>
          <w:b/>
        </w:rPr>
        <w:t xml:space="preserve"> se pose :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 xml:space="preserve">a) Expliquer les éléments pris en compte dans </w:t>
      </w:r>
      <w:r>
        <w:rPr>
          <w:rFonts w:asciiTheme="minorHAnsi" w:hAnsiTheme="minorHAnsi" w:cstheme="minorHAnsi"/>
          <w:b/>
        </w:rPr>
        <w:t>le calcul du coût total de possession(</w:t>
      </w:r>
      <w:r w:rsidRPr="000B3BFE">
        <w:rPr>
          <w:rFonts w:asciiTheme="minorHAnsi" w:hAnsiTheme="minorHAnsi" w:cstheme="minorHAnsi"/>
          <w:b/>
        </w:rPr>
        <w:t>TCO</w:t>
      </w:r>
      <w:r>
        <w:rPr>
          <w:rFonts w:asciiTheme="minorHAnsi" w:hAnsiTheme="minorHAnsi" w:cstheme="minorHAnsi"/>
          <w:b/>
        </w:rPr>
        <w:t>)</w:t>
      </w:r>
      <w:r w:rsidRPr="000B3BFE">
        <w:rPr>
          <w:rFonts w:asciiTheme="minorHAnsi" w:hAnsiTheme="minorHAnsi" w:cstheme="minorHAnsi"/>
          <w:b/>
        </w:rPr>
        <w:t xml:space="preserve"> et comment ce dernier va évoluer dans le temps.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 xml:space="preserve">b) Justifier l’intérêt </w:t>
      </w:r>
      <w:r>
        <w:rPr>
          <w:rFonts w:asciiTheme="minorHAnsi" w:hAnsiTheme="minorHAnsi" w:cstheme="minorHAnsi"/>
          <w:b/>
        </w:rPr>
        <w:t xml:space="preserve">qu’a </w:t>
      </w:r>
      <w:proofErr w:type="spellStart"/>
      <w:r>
        <w:rPr>
          <w:rFonts w:asciiTheme="minorHAnsi" w:hAnsiTheme="minorHAnsi" w:cstheme="minorHAnsi"/>
          <w:b/>
        </w:rPr>
        <w:t>Savéol</w:t>
      </w:r>
      <w:proofErr w:type="spellEnd"/>
      <w:r>
        <w:rPr>
          <w:rFonts w:asciiTheme="minorHAnsi" w:hAnsiTheme="minorHAnsi" w:cstheme="minorHAnsi"/>
          <w:b/>
        </w:rPr>
        <w:t xml:space="preserve"> d’</w:t>
      </w:r>
      <w:r w:rsidRPr="000B3BFE">
        <w:rPr>
          <w:rFonts w:asciiTheme="minorHAnsi" w:hAnsiTheme="minorHAnsi" w:cstheme="minorHAnsi"/>
          <w:b/>
        </w:rPr>
        <w:t>opter pour le renouvellement sur deux ans de la garantie au-delà des trois ans initialement prévu</w:t>
      </w:r>
      <w:r>
        <w:rPr>
          <w:rFonts w:asciiTheme="minorHAnsi" w:hAnsiTheme="minorHAnsi" w:cstheme="minorHAnsi"/>
          <w:b/>
        </w:rPr>
        <w:t>s</w:t>
      </w:r>
      <w:r w:rsidRPr="000B3BFE">
        <w:rPr>
          <w:rFonts w:asciiTheme="minorHAnsi" w:hAnsiTheme="minorHAnsi" w:cstheme="minorHAnsi"/>
          <w:b/>
        </w:rPr>
        <w:t xml:space="preserve"> dans le contrat.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 xml:space="preserve">c) Valider le montant de la valeur nette comptable </w:t>
      </w:r>
      <w:r>
        <w:rPr>
          <w:rFonts w:asciiTheme="minorHAnsi" w:hAnsiTheme="minorHAnsi" w:cstheme="minorHAnsi"/>
          <w:b/>
        </w:rPr>
        <w:t xml:space="preserve">du serveur </w:t>
      </w:r>
      <w:r w:rsidRPr="000B3BFE">
        <w:rPr>
          <w:rFonts w:asciiTheme="minorHAnsi" w:hAnsiTheme="minorHAnsi" w:cstheme="minorHAnsi"/>
          <w:b/>
        </w:rPr>
        <w:t>au 31/12/201</w:t>
      </w:r>
      <w:r>
        <w:rPr>
          <w:rFonts w:asciiTheme="minorHAnsi" w:hAnsiTheme="minorHAnsi" w:cstheme="minorHAnsi"/>
          <w:b/>
        </w:rPr>
        <w:t>4</w:t>
      </w:r>
      <w:r w:rsidRPr="000B3BFE">
        <w:rPr>
          <w:rFonts w:asciiTheme="minorHAnsi" w:hAnsiTheme="minorHAnsi" w:cstheme="minorHAnsi"/>
          <w:b/>
        </w:rPr>
        <w:t xml:space="preserve"> en détaillant les calculs pour l’obtenir.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 xml:space="preserve">d) </w:t>
      </w:r>
      <w:r>
        <w:rPr>
          <w:rFonts w:asciiTheme="minorHAnsi" w:hAnsiTheme="minorHAnsi" w:cstheme="minorHAnsi"/>
          <w:b/>
        </w:rPr>
        <w:t>Indiquer</w:t>
      </w:r>
      <w:r w:rsidRPr="000B3BFE">
        <w:rPr>
          <w:rFonts w:asciiTheme="minorHAnsi" w:hAnsiTheme="minorHAnsi" w:cstheme="minorHAnsi"/>
          <w:b/>
        </w:rPr>
        <w:t xml:space="preserve"> si cette valeur </w:t>
      </w:r>
      <w:r>
        <w:rPr>
          <w:rFonts w:asciiTheme="minorHAnsi" w:hAnsiTheme="minorHAnsi" w:cstheme="minorHAnsi"/>
          <w:b/>
        </w:rPr>
        <w:t xml:space="preserve">nette comptable </w:t>
      </w:r>
      <w:r w:rsidRPr="000B3BFE">
        <w:rPr>
          <w:rFonts w:asciiTheme="minorHAnsi" w:hAnsiTheme="minorHAnsi" w:cstheme="minorHAnsi"/>
          <w:b/>
        </w:rPr>
        <w:t>correspond à la réalité</w:t>
      </w:r>
      <w:r>
        <w:rPr>
          <w:rFonts w:asciiTheme="minorHAnsi" w:hAnsiTheme="minorHAnsi" w:cstheme="minorHAnsi"/>
          <w:b/>
        </w:rPr>
        <w:t xml:space="preserve"> de la valeur du serveur</w:t>
      </w:r>
      <w:r w:rsidRPr="000B3BFE">
        <w:rPr>
          <w:rFonts w:asciiTheme="minorHAnsi" w:hAnsiTheme="minorHAnsi" w:cstheme="minorHAnsi"/>
          <w:b/>
        </w:rPr>
        <w:t>.</w:t>
      </w:r>
    </w:p>
    <w:p w:rsidR="00802EAC" w:rsidRPr="000B3BFE" w:rsidRDefault="00802EAC" w:rsidP="00802EA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0B3BFE">
        <w:rPr>
          <w:rFonts w:asciiTheme="minorHAnsi" w:hAnsiTheme="minorHAnsi" w:cstheme="minorHAnsi"/>
          <w:b/>
        </w:rPr>
        <w:t>e)Indiquer l’intérêt ou les risques à continuer à utiliser le serveur au-delà de son cycle de vie estimé</w:t>
      </w:r>
      <w:r>
        <w:rPr>
          <w:rFonts w:asciiTheme="minorHAnsi" w:hAnsiTheme="minorHAnsi" w:cstheme="minorHAnsi"/>
          <w:b/>
        </w:rPr>
        <w:t>.</w:t>
      </w:r>
    </w:p>
    <w:p w:rsidR="00A02187" w:rsidRDefault="00A02187"/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Les éléments financiers du serveur physique sont issus du logiciel de gestion de parc :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Valeur d’achat : 4 200 € (y compris 500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 xml:space="preserve">€ </w:t>
      </w:r>
      <w:proofErr w:type="gramStart"/>
      <w:r>
        <w:rPr>
          <w:rFonts w:eastAsiaTheme="minorHAnsi" w:cs="Arial"/>
          <w:color w:val="auto"/>
          <w:szCs w:val="22"/>
          <w:lang w:eastAsia="en-US"/>
        </w:rPr>
        <w:t>de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 xml:space="preserve"> garantie)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Date d’achat : 15/10/2012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Durée de la garantie (pièces et main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d’</w:t>
      </w:r>
      <w:proofErr w:type="spellStart"/>
      <w:r>
        <w:rPr>
          <w:rFonts w:eastAsiaTheme="minorHAnsi" w:cs="Arial"/>
          <w:color w:val="auto"/>
          <w:szCs w:val="22"/>
          <w:lang w:eastAsia="en-US"/>
        </w:rPr>
        <w:t>oeuvre</w:t>
      </w:r>
      <w:proofErr w:type="spellEnd"/>
      <w:proofErr w:type="gramEnd"/>
      <w:r>
        <w:rPr>
          <w:rFonts w:eastAsiaTheme="minorHAnsi" w:cs="Arial"/>
          <w:color w:val="auto"/>
          <w:szCs w:val="22"/>
          <w:lang w:eastAsia="en-US"/>
        </w:rPr>
        <w:t>) : 3 ans (renouvelable 2 ans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pour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 xml:space="preserve"> 1 200 €)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Mode d’amortissement* : linéaire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Date de mise en service : 01/11/2012</w:t>
      </w:r>
    </w:p>
    <w:p w:rsidR="00802EAC" w:rsidRP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val="en-US" w:eastAsia="en-US"/>
        </w:rPr>
      </w:pPr>
      <w:r w:rsidRPr="00802EAC">
        <w:rPr>
          <w:rFonts w:eastAsiaTheme="minorHAnsi" w:cs="Arial"/>
          <w:color w:val="auto"/>
          <w:szCs w:val="22"/>
          <w:lang w:val="en-US" w:eastAsia="en-US"/>
        </w:rPr>
        <w:t>TCO (</w:t>
      </w:r>
      <w:r w:rsidRPr="00802EAC">
        <w:rPr>
          <w:rFonts w:eastAsiaTheme="minorHAnsi" w:cs="Arial"/>
          <w:i/>
          <w:iCs/>
          <w:color w:val="auto"/>
          <w:szCs w:val="22"/>
          <w:lang w:val="en-US" w:eastAsia="en-US"/>
        </w:rPr>
        <w:t xml:space="preserve">total cost of ownership </w:t>
      </w:r>
      <w:proofErr w:type="spellStart"/>
      <w:r w:rsidRPr="00802EAC">
        <w:rPr>
          <w:rFonts w:eastAsiaTheme="minorHAnsi" w:cs="Arial"/>
          <w:color w:val="auto"/>
          <w:szCs w:val="22"/>
          <w:lang w:val="en-US" w:eastAsia="en-US"/>
        </w:rPr>
        <w:t>ou</w:t>
      </w:r>
      <w:proofErr w:type="spellEnd"/>
      <w:r w:rsidRPr="00802EAC">
        <w:rPr>
          <w:rFonts w:eastAsiaTheme="minorHAnsi" w:cs="Arial"/>
          <w:color w:val="auto"/>
          <w:szCs w:val="22"/>
          <w:lang w:val="en-US" w:eastAsia="en-US"/>
        </w:rPr>
        <w:t xml:space="preserve"> </w:t>
      </w:r>
      <w:proofErr w:type="spellStart"/>
      <w:r w:rsidRPr="00802EAC">
        <w:rPr>
          <w:rFonts w:eastAsiaTheme="minorHAnsi" w:cs="Arial"/>
          <w:color w:val="auto"/>
          <w:szCs w:val="22"/>
          <w:lang w:val="en-US" w:eastAsia="en-US"/>
        </w:rPr>
        <w:t>coût</w:t>
      </w:r>
      <w:proofErr w:type="spellEnd"/>
      <w:r w:rsidRPr="00802EAC">
        <w:rPr>
          <w:rFonts w:eastAsiaTheme="minorHAnsi" w:cs="Arial"/>
          <w:color w:val="auto"/>
          <w:szCs w:val="22"/>
          <w:lang w:val="en-US" w:eastAsia="en-US"/>
        </w:rPr>
        <w:t xml:space="preserve"> total de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possession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>) : 6 830 €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Valeur nette comptable au 31/12/2014 : 2 380 €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Valeur résiduelle : 0 €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ascii="Arial,Italic" w:eastAsiaTheme="minorHAnsi" w:hAnsi="Arial,Italic" w:cs="Arial,Italic"/>
          <w:i/>
          <w:iCs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*</w:t>
      </w:r>
      <w:r>
        <w:rPr>
          <w:rFonts w:ascii="Arial,Italic" w:eastAsiaTheme="minorHAnsi" w:hAnsi="Arial,Italic" w:cs="Arial,Italic"/>
          <w:i/>
          <w:iCs/>
          <w:color w:val="auto"/>
          <w:szCs w:val="22"/>
          <w:lang w:eastAsia="en-US"/>
        </w:rPr>
        <w:t>L’amortissement est la répartition du montant d’un actif amortissable selon le rythme de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i/>
          <w:iCs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i/>
          <w:iCs/>
          <w:color w:val="auto"/>
          <w:szCs w:val="22"/>
          <w:lang w:eastAsia="en-US"/>
        </w:rPr>
        <w:t>consommation</w:t>
      </w:r>
      <w:proofErr w:type="gramEnd"/>
      <w:r>
        <w:rPr>
          <w:rFonts w:eastAsiaTheme="minorHAnsi" w:cs="Arial"/>
          <w:i/>
          <w:iCs/>
          <w:color w:val="auto"/>
          <w:szCs w:val="22"/>
          <w:lang w:eastAsia="en-US"/>
        </w:rPr>
        <w:t xml:space="preserve"> des avantages économiques attendus en fonction de son utilisation probable.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spellStart"/>
      <w:r>
        <w:rPr>
          <w:rFonts w:eastAsiaTheme="minorHAnsi" w:cs="Arial"/>
          <w:color w:val="auto"/>
          <w:szCs w:val="22"/>
          <w:lang w:eastAsia="en-US"/>
        </w:rPr>
        <w:t>Savéol</w:t>
      </w:r>
      <w:proofErr w:type="spellEnd"/>
      <w:r>
        <w:rPr>
          <w:rFonts w:eastAsiaTheme="minorHAnsi" w:cs="Arial"/>
          <w:color w:val="auto"/>
          <w:szCs w:val="22"/>
          <w:lang w:eastAsia="en-US"/>
        </w:rPr>
        <w:t xml:space="preserve"> renouvelle les postes de travail tous les 4 ans et les serveurs tous les 5 ans.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r>
        <w:rPr>
          <w:rFonts w:eastAsiaTheme="minorHAnsi" w:cs="Arial"/>
          <w:color w:val="auto"/>
          <w:szCs w:val="22"/>
          <w:lang w:eastAsia="en-US"/>
        </w:rPr>
        <w:t>Sensibilisée par les problématiques de développement durable et de fracture numérique, elle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a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 xml:space="preserve"> pour politique de reconditionner et de donner aux associations, aux établissements</w:t>
      </w:r>
    </w:p>
    <w:p w:rsidR="00802EAC" w:rsidRDefault="00802EAC" w:rsidP="00802EAC">
      <w:pPr>
        <w:widowControl/>
        <w:suppressAutoHyphens w:val="0"/>
        <w:autoSpaceDE w:val="0"/>
        <w:autoSpaceDN w:val="0"/>
        <w:adjustRightInd w:val="0"/>
        <w:jc w:val="left"/>
        <w:textAlignment w:val="auto"/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scolaires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 xml:space="preserve"> ou bien aux espaces publics numériques (EPN), le matériel informatique à la fin de</w:t>
      </w: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  <w:proofErr w:type="gramStart"/>
      <w:r>
        <w:rPr>
          <w:rFonts w:eastAsiaTheme="minorHAnsi" w:cs="Arial"/>
          <w:color w:val="auto"/>
          <w:szCs w:val="22"/>
          <w:lang w:eastAsia="en-US"/>
        </w:rPr>
        <w:t>leur</w:t>
      </w:r>
      <w:proofErr w:type="gramEnd"/>
      <w:r>
        <w:rPr>
          <w:rFonts w:eastAsiaTheme="minorHAnsi" w:cs="Arial"/>
          <w:color w:val="auto"/>
          <w:szCs w:val="22"/>
          <w:lang w:eastAsia="en-US"/>
        </w:rPr>
        <w:t xml:space="preserve"> cycle de vie.</w:t>
      </w: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rPr>
          <w:rFonts w:eastAsiaTheme="minorHAnsi" w:cs="Arial"/>
          <w:color w:val="auto"/>
          <w:szCs w:val="22"/>
          <w:lang w:eastAsia="en-US"/>
        </w:rPr>
      </w:pPr>
    </w:p>
    <w:p w:rsidR="00802EAC" w:rsidRDefault="00802EAC" w:rsidP="00802EAC">
      <w:pPr>
        <w:ind w:left="360"/>
      </w:pPr>
    </w:p>
    <w:sectPr w:rsidR="00802EAC" w:rsidSect="00A02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0711"/>
    <w:multiLevelType w:val="hybridMultilevel"/>
    <w:tmpl w:val="F760DF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characterSpacingControl w:val="doNotCompress"/>
  <w:savePreviewPicture/>
  <w:compat/>
  <w:rsids>
    <w:rsidRoot w:val="00802EAC"/>
    <w:rsid w:val="002369EB"/>
    <w:rsid w:val="0033604A"/>
    <w:rsid w:val="00655928"/>
    <w:rsid w:val="00802EAC"/>
    <w:rsid w:val="00A02187"/>
    <w:rsid w:val="00C9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AC"/>
    <w:pPr>
      <w:widowControl w:val="0"/>
      <w:suppressAutoHyphens/>
      <w:spacing w:after="0" w:line="240" w:lineRule="auto"/>
      <w:jc w:val="both"/>
      <w:textAlignment w:val="baseline"/>
    </w:pPr>
    <w:rPr>
      <w:rFonts w:ascii="Arial" w:eastAsia="HG Mincho Light J" w:hAnsi="Arial" w:cs="Arial Unicode MS"/>
      <w:color w:val="00000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1777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cp:lastPrinted>2020-09-21T09:50:00Z</cp:lastPrinted>
  <dcterms:created xsi:type="dcterms:W3CDTF">2020-09-21T09:52:00Z</dcterms:created>
  <dcterms:modified xsi:type="dcterms:W3CDTF">2020-09-21T09:52:00Z</dcterms:modified>
</cp:coreProperties>
</file>