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DC0" w:rsidRPr="00885DC0" w:rsidRDefault="00885DC0" w:rsidP="00885DC0">
      <w:pPr>
        <w:jc w:val="center"/>
        <w:rPr>
          <w:b/>
          <w:sz w:val="24"/>
          <w:szCs w:val="24"/>
        </w:rPr>
      </w:pPr>
      <w:bookmarkStart w:id="0" w:name="_GoBack"/>
      <w:bookmarkEnd w:id="0"/>
    </w:p>
    <w:p w:rsidR="00885DC0" w:rsidRPr="00885DC0" w:rsidRDefault="00885DC0" w:rsidP="00885DC0">
      <w:pPr>
        <w:jc w:val="center"/>
        <w:rPr>
          <w:b/>
          <w:sz w:val="24"/>
          <w:szCs w:val="24"/>
        </w:rPr>
      </w:pPr>
      <w:r w:rsidRPr="00885DC0">
        <w:rPr>
          <w:b/>
          <w:sz w:val="24"/>
          <w:szCs w:val="24"/>
        </w:rPr>
        <w:t>PARTIE GESTION</w:t>
      </w:r>
    </w:p>
    <w:p w:rsidR="00885DC0" w:rsidRDefault="00885DC0" w:rsidP="00885DC0">
      <w:pPr>
        <w:jc w:val="both"/>
      </w:pPr>
    </w:p>
    <w:p w:rsidR="00885DC0" w:rsidRPr="00885DC0" w:rsidRDefault="00885DC0" w:rsidP="00885DC0">
      <w:pPr>
        <w:jc w:val="both"/>
      </w:pPr>
      <w:r>
        <w:t xml:space="preserve">Le groupe </w:t>
      </w:r>
      <w:proofErr w:type="spellStart"/>
      <w:r>
        <w:rPr>
          <w:smallCaps/>
          <w:color w:val="000000"/>
        </w:rPr>
        <w:t>polymousse</w:t>
      </w:r>
      <w:proofErr w:type="spellEnd"/>
      <w:r>
        <w:t xml:space="preserve"> est spécialisé dans la fabrication et la transformation de mousse de polyuréthanne. Il exerce son activité dans trois secteurs principaux : la literie, l’automobile et l’isolation.</w:t>
      </w:r>
    </w:p>
    <w:p w:rsidR="00885DC0" w:rsidRDefault="00885DC0" w:rsidP="00885DC0">
      <w:pPr>
        <w:jc w:val="both"/>
        <w:rPr>
          <w:rStyle w:val="Parag1Car"/>
        </w:rPr>
      </w:pPr>
      <w:r>
        <w:t xml:space="preserve">Employant quelque 3 000 collaborateurs, le groupe </w:t>
      </w:r>
      <w:proofErr w:type="spellStart"/>
      <w:r>
        <w:rPr>
          <w:smallCaps/>
          <w:color w:val="000000"/>
        </w:rPr>
        <w:t>polymousse</w:t>
      </w:r>
      <w:proofErr w:type="spellEnd"/>
      <w:r>
        <w:rPr>
          <w:rStyle w:val="Parag1Car"/>
        </w:rPr>
        <w:t xml:space="preserve"> est principalement présent sur le marché français mais il a récemment racheté dans différents pays plusieurs sociétés qui sont devenues des succursales. Par cette action, il a triplé son chiffre d’affaires, doublé ses effectifs et est devenu leader sur le marché européen.</w:t>
      </w:r>
    </w:p>
    <w:p w:rsidR="00885DC0" w:rsidRDefault="00885DC0" w:rsidP="00885DC0">
      <w:pPr>
        <w:pStyle w:val="Parag1"/>
        <w:jc w:val="both"/>
        <w:rPr>
          <w:color w:val="000000"/>
        </w:rPr>
      </w:pPr>
    </w:p>
    <w:p w:rsidR="00885DC0" w:rsidRDefault="00885DC0" w:rsidP="00885DC0">
      <w:pPr>
        <w:pStyle w:val="Parag1"/>
        <w:jc w:val="both"/>
        <w:rPr>
          <w:color w:val="000000"/>
        </w:rPr>
      </w:pPr>
      <w:r>
        <w:rPr>
          <w:color w:val="000000"/>
        </w:rPr>
        <w:t>La répartition de l’effectif des collaborateurs du groupe est désormais la suivante :</w:t>
      </w:r>
    </w:p>
    <w:p w:rsidR="00885DC0" w:rsidRDefault="00885DC0" w:rsidP="00885DC0">
      <w:pPr>
        <w:pStyle w:val="Parag1"/>
        <w:ind w:firstLine="708"/>
        <w:jc w:val="both"/>
        <w:rPr>
          <w:color w:val="000000"/>
        </w:rPr>
      </w:pPr>
      <w:r>
        <w:rPr>
          <w:color w:val="000000"/>
        </w:rPr>
        <w:t xml:space="preserve">- France </w:t>
      </w:r>
      <w:r>
        <w:rPr>
          <w:color w:val="000000"/>
        </w:rPr>
        <w:tab/>
        <w:t>: 1 500</w:t>
      </w:r>
    </w:p>
    <w:p w:rsidR="00885DC0" w:rsidRDefault="00885DC0" w:rsidP="00885DC0">
      <w:pPr>
        <w:pStyle w:val="Parag1"/>
        <w:ind w:firstLine="708"/>
        <w:jc w:val="both"/>
        <w:rPr>
          <w:color w:val="000000"/>
        </w:rPr>
      </w:pPr>
      <w:r>
        <w:rPr>
          <w:color w:val="000000"/>
        </w:rPr>
        <w:t>- Espagne</w:t>
      </w:r>
      <w:r>
        <w:rPr>
          <w:color w:val="000000"/>
        </w:rPr>
        <w:tab/>
        <w:t>:    800</w:t>
      </w:r>
    </w:p>
    <w:p w:rsidR="00885DC0" w:rsidRDefault="00885DC0" w:rsidP="00885DC0">
      <w:pPr>
        <w:pStyle w:val="Parag1"/>
        <w:ind w:firstLine="708"/>
        <w:jc w:val="both"/>
        <w:rPr>
          <w:color w:val="000000"/>
        </w:rPr>
      </w:pPr>
      <w:r>
        <w:rPr>
          <w:color w:val="000000"/>
        </w:rPr>
        <w:t>- Allemagne</w:t>
      </w:r>
      <w:r>
        <w:rPr>
          <w:color w:val="000000"/>
        </w:rPr>
        <w:tab/>
        <w:t>:    400</w:t>
      </w:r>
    </w:p>
    <w:p w:rsidR="00885DC0" w:rsidRDefault="00885DC0" w:rsidP="00885DC0">
      <w:pPr>
        <w:pStyle w:val="Parag1"/>
        <w:ind w:firstLine="708"/>
        <w:jc w:val="both"/>
        <w:rPr>
          <w:color w:val="000000"/>
        </w:rPr>
      </w:pPr>
      <w:r>
        <w:rPr>
          <w:color w:val="000000"/>
        </w:rPr>
        <w:t>- Belgique </w:t>
      </w:r>
      <w:r>
        <w:rPr>
          <w:color w:val="000000"/>
        </w:rPr>
        <w:tab/>
        <w:t>:    300</w:t>
      </w:r>
    </w:p>
    <w:p w:rsidR="00885DC0" w:rsidRDefault="00885DC0" w:rsidP="00885DC0">
      <w:pPr>
        <w:pStyle w:val="Parag1"/>
        <w:jc w:val="both"/>
        <w:rPr>
          <w:color w:val="000000"/>
        </w:rPr>
      </w:pPr>
    </w:p>
    <w:p w:rsidR="00885DC0" w:rsidRDefault="00885DC0" w:rsidP="00885DC0">
      <w:pPr>
        <w:pStyle w:val="Parag1"/>
        <w:jc w:val="both"/>
        <w:rPr>
          <w:color w:val="000000"/>
        </w:rPr>
      </w:pPr>
      <w:r>
        <w:rPr>
          <w:color w:val="000000"/>
        </w:rPr>
        <w:t xml:space="preserve">Cette évolution majeure nécessite de réaliser l’intégration des différents systèmes d’information présents au sein du groupe. Le système d’information (SI) ainsi obtenu doit garantir la disponibilité des applications informatiques </w:t>
      </w:r>
      <w:r>
        <w:t>dans l’ensemble du</w:t>
      </w:r>
      <w:r>
        <w:rPr>
          <w:color w:val="000000"/>
        </w:rPr>
        <w:t xml:space="preserve"> groupe. </w:t>
      </w:r>
    </w:p>
    <w:p w:rsidR="00885DC0" w:rsidRDefault="00885DC0" w:rsidP="00885DC0">
      <w:pPr>
        <w:jc w:val="both"/>
      </w:pPr>
    </w:p>
    <w:p w:rsidR="00885DC0" w:rsidRDefault="00885DC0" w:rsidP="00885DC0">
      <w:pPr>
        <w:jc w:val="both"/>
      </w:pPr>
      <w:r>
        <w:t>L’interconnexion complète des succursales permettra de diminuer considérablement le temps de traitement d’une commande client. Les ordres de fabrication sur les différentes succursales pourront être transmis en temps réel et les informations sur l’avancement d’une commande seront consultables par les clients.</w:t>
      </w:r>
    </w:p>
    <w:p w:rsidR="00885DC0" w:rsidRDefault="00885DC0" w:rsidP="00885DC0">
      <w:pPr>
        <w:pStyle w:val="Titre2"/>
        <w:numPr>
          <w:ilvl w:val="0"/>
          <w:numId w:val="0"/>
        </w:numPr>
        <w:jc w:val="both"/>
        <w:rPr>
          <w:b w:val="0"/>
          <w:sz w:val="20"/>
          <w:u w:val="none"/>
        </w:rPr>
      </w:pPr>
      <w:r>
        <w:rPr>
          <w:b w:val="0"/>
          <w:sz w:val="20"/>
          <w:u w:val="none"/>
        </w:rPr>
        <w:t xml:space="preserve">L’amélioration sensible du service offert au client laisse espérer un accroissement important du nombre de commandes. Par conséquent, le groupe espère, en retour sur investissement, augmenter son chiffre d’affaires sur les quatre prochaines années. </w:t>
      </w:r>
    </w:p>
    <w:p w:rsidR="00885DC0" w:rsidRDefault="00885DC0" w:rsidP="00885DC0">
      <w:pPr>
        <w:pStyle w:val="Titre2"/>
        <w:numPr>
          <w:ilvl w:val="0"/>
          <w:numId w:val="0"/>
        </w:numPr>
        <w:jc w:val="both"/>
        <w:rPr>
          <w:b w:val="0"/>
          <w:sz w:val="20"/>
          <w:u w:val="none"/>
        </w:rPr>
      </w:pPr>
      <w:r>
        <w:rPr>
          <w:b w:val="0"/>
          <w:sz w:val="20"/>
          <w:u w:val="none"/>
        </w:rPr>
        <w:t xml:space="preserve">L’investissement réputé entièrement autofinancé se chiffre à 40 000 €. Il sera réalisé en début d’exercice comptable et amorti linéairement sur 4 ans. Il générera une augmentation du chiffre d’affaires mais aussi des charges supplémentaires d’exploitation dont les montants sont donnés en </w:t>
      </w:r>
      <w:r>
        <w:rPr>
          <w:sz w:val="20"/>
          <w:u w:val="none"/>
        </w:rPr>
        <w:t>annexe 6</w:t>
      </w:r>
      <w:r>
        <w:rPr>
          <w:b w:val="0"/>
          <w:sz w:val="20"/>
          <w:u w:val="none"/>
        </w:rPr>
        <w:t>. Le taux de l’IS retenu est de 33 1/3 %</w:t>
      </w:r>
    </w:p>
    <w:p w:rsidR="00885DC0" w:rsidRDefault="00885DC0" w:rsidP="00885DC0">
      <w:pPr>
        <w:rPr>
          <w:sz w:val="19"/>
        </w:rPr>
      </w:pPr>
    </w:p>
    <w:p w:rsidR="00885DC0" w:rsidRDefault="00885DC0" w:rsidP="00885DC0">
      <w:pPr>
        <w:pBdr>
          <w:top w:val="single" w:sz="4" w:space="1" w:color="auto"/>
          <w:left w:val="single" w:sz="4" w:space="24" w:color="auto"/>
          <w:bottom w:val="single" w:sz="4" w:space="1" w:color="auto"/>
          <w:right w:val="single" w:sz="4" w:space="4" w:color="auto"/>
        </w:pBdr>
        <w:ind w:left="360"/>
        <w:rPr>
          <w:b/>
          <w:sz w:val="19"/>
        </w:rPr>
      </w:pPr>
      <w:r>
        <w:rPr>
          <w:b/>
          <w:sz w:val="19"/>
        </w:rPr>
        <w:t xml:space="preserve">TRAVAIL </w:t>
      </w:r>
      <w:r>
        <w:rPr>
          <w:b/>
          <w:caps/>
        </w:rPr>
        <w:t>À</w:t>
      </w:r>
      <w:r>
        <w:rPr>
          <w:b/>
          <w:color w:val="000000"/>
          <w:sz w:val="19"/>
        </w:rPr>
        <w:t xml:space="preserve"> </w:t>
      </w:r>
      <w:r>
        <w:rPr>
          <w:b/>
        </w:rPr>
        <w:t xml:space="preserve"> </w:t>
      </w:r>
      <w:r>
        <w:rPr>
          <w:b/>
          <w:sz w:val="19"/>
        </w:rPr>
        <w:t>FAIRE</w:t>
      </w:r>
      <w:r>
        <w:rPr>
          <w:b/>
          <w:sz w:val="19"/>
        </w:rPr>
        <w:br/>
      </w:r>
    </w:p>
    <w:p w:rsidR="00885DC0" w:rsidRDefault="00885DC0" w:rsidP="00885DC0">
      <w:pPr>
        <w:numPr>
          <w:ilvl w:val="1"/>
          <w:numId w:val="2"/>
        </w:numPr>
        <w:pBdr>
          <w:top w:val="single" w:sz="4" w:space="1" w:color="auto"/>
          <w:left w:val="single" w:sz="4" w:space="24" w:color="auto"/>
          <w:bottom w:val="single" w:sz="4" w:space="1" w:color="auto"/>
          <w:right w:val="single" w:sz="4" w:space="4" w:color="auto"/>
        </w:pBdr>
        <w:rPr>
          <w:sz w:val="19"/>
        </w:rPr>
      </w:pPr>
      <w:r>
        <w:rPr>
          <w:sz w:val="19"/>
        </w:rPr>
        <w:t xml:space="preserve">Calculer les Flux Nets de Trésorerie (CAF) dégagés chaque année à partir de données de </w:t>
      </w:r>
      <w:r>
        <w:rPr>
          <w:b/>
          <w:sz w:val="19"/>
        </w:rPr>
        <w:t>l’annexe 1</w:t>
      </w:r>
      <w:r>
        <w:rPr>
          <w:sz w:val="19"/>
        </w:rPr>
        <w:t>.</w:t>
      </w:r>
    </w:p>
    <w:p w:rsidR="00885DC0" w:rsidRDefault="00885DC0" w:rsidP="00885DC0">
      <w:pPr>
        <w:pBdr>
          <w:top w:val="single" w:sz="4" w:space="1" w:color="auto"/>
          <w:left w:val="single" w:sz="4" w:space="24" w:color="auto"/>
          <w:bottom w:val="single" w:sz="4" w:space="1" w:color="auto"/>
          <w:right w:val="single" w:sz="4" w:space="4" w:color="auto"/>
        </w:pBdr>
        <w:ind w:left="360"/>
        <w:rPr>
          <w:sz w:val="19"/>
        </w:rPr>
      </w:pPr>
    </w:p>
    <w:p w:rsidR="00885DC0" w:rsidRDefault="00885DC0" w:rsidP="00885DC0">
      <w:pPr>
        <w:numPr>
          <w:ilvl w:val="1"/>
          <w:numId w:val="2"/>
        </w:numPr>
        <w:pBdr>
          <w:top w:val="single" w:sz="4" w:space="1" w:color="auto"/>
          <w:left w:val="single" w:sz="4" w:space="24" w:color="auto"/>
          <w:bottom w:val="single" w:sz="4" w:space="1" w:color="auto"/>
          <w:right w:val="single" w:sz="4" w:space="4" w:color="auto"/>
        </w:pBdr>
        <w:rPr>
          <w:sz w:val="19"/>
        </w:rPr>
      </w:pPr>
      <w:r>
        <w:rPr>
          <w:sz w:val="19"/>
        </w:rPr>
        <w:t>Conclure sur l’opportunité de cet investissement en vous appuyant sur la notion de Valeur Actuelle Nette (VAN).</w:t>
      </w:r>
    </w:p>
    <w:p w:rsidR="00885DC0" w:rsidRDefault="00885DC0" w:rsidP="00885DC0">
      <w:pPr>
        <w:pBdr>
          <w:top w:val="single" w:sz="4" w:space="1" w:color="auto"/>
          <w:left w:val="single" w:sz="4" w:space="24" w:color="auto"/>
          <w:bottom w:val="single" w:sz="4" w:space="1" w:color="auto"/>
          <w:right w:val="single" w:sz="4" w:space="4" w:color="auto"/>
        </w:pBdr>
        <w:ind w:left="360"/>
        <w:rPr>
          <w:sz w:val="19"/>
        </w:rPr>
      </w:pPr>
    </w:p>
    <w:p w:rsidR="0006647A" w:rsidRDefault="0006647A"/>
    <w:p w:rsidR="00885DC0" w:rsidRDefault="00885DC0" w:rsidP="00885DC0">
      <w:pPr>
        <w:pBdr>
          <w:top w:val="single" w:sz="2" w:space="1" w:color="auto"/>
          <w:left w:val="single" w:sz="2" w:space="4" w:color="auto"/>
          <w:bottom w:val="single" w:sz="2" w:space="1" w:color="auto"/>
          <w:right w:val="single" w:sz="2" w:space="4" w:color="auto"/>
        </w:pBdr>
        <w:shd w:val="clear" w:color="auto" w:fill="000000"/>
        <w:jc w:val="center"/>
        <w:rPr>
          <w:rFonts w:ascii="Helvetica" w:hAnsi="Helvetica"/>
          <w:b/>
          <w:smallCaps/>
          <w:color w:val="FFFFFF"/>
          <w:sz w:val="19"/>
        </w:rPr>
      </w:pPr>
      <w:r>
        <w:rPr>
          <w:rFonts w:ascii="Helvetica" w:hAnsi="Helvetica"/>
          <w:b/>
          <w:smallCaps/>
          <w:color w:val="FFFFFF"/>
          <w:sz w:val="19"/>
        </w:rPr>
        <w:t xml:space="preserve">Annexe 1 : </w:t>
      </w:r>
      <w:r>
        <w:rPr>
          <w:rFonts w:ascii="Helvetica" w:hAnsi="Helvetica"/>
          <w:b/>
          <w:color w:val="FFFFFF"/>
          <w:sz w:val="19"/>
          <w:szCs w:val="19"/>
        </w:rPr>
        <w:t>flux</w:t>
      </w:r>
      <w:r w:rsidRPr="002E6C83">
        <w:rPr>
          <w:rFonts w:ascii="Helvetica" w:hAnsi="Helvetica"/>
          <w:b/>
          <w:color w:val="FFFFFF"/>
          <w:sz w:val="19"/>
          <w:szCs w:val="19"/>
        </w:rPr>
        <w:t xml:space="preserve">  supplémentaires </w:t>
      </w:r>
      <w:r>
        <w:rPr>
          <w:rFonts w:ascii="Helvetica" w:hAnsi="Helvetica"/>
          <w:b/>
          <w:color w:val="FFFFFF"/>
          <w:sz w:val="19"/>
          <w:szCs w:val="19"/>
        </w:rPr>
        <w:t>g</w:t>
      </w:r>
      <w:r w:rsidRPr="002E6C83">
        <w:rPr>
          <w:rFonts w:ascii="Helvetica" w:hAnsi="Helvetica"/>
          <w:b/>
          <w:color w:val="FFFFFF"/>
          <w:sz w:val="19"/>
          <w:szCs w:val="19"/>
        </w:rPr>
        <w:t>énérés par la solution RPV</w:t>
      </w:r>
    </w:p>
    <w:p w:rsidR="00885DC0" w:rsidRDefault="00885DC0" w:rsidP="00885DC0">
      <w:pPr>
        <w:rPr>
          <w:sz w:val="19"/>
        </w:rPr>
      </w:pPr>
    </w:p>
    <w:p w:rsidR="00885DC0" w:rsidRDefault="00885DC0" w:rsidP="00885DC0">
      <w:pPr>
        <w:rPr>
          <w:sz w:val="19"/>
        </w:rPr>
      </w:pPr>
    </w:p>
    <w:tbl>
      <w:tblPr>
        <w:tblW w:w="0" w:type="auto"/>
        <w:tblInd w:w="55" w:type="dxa"/>
        <w:tblLayout w:type="fixed"/>
        <w:tblCellMar>
          <w:left w:w="70" w:type="dxa"/>
          <w:right w:w="70" w:type="dxa"/>
        </w:tblCellMar>
        <w:tblLook w:val="0000" w:firstRow="0" w:lastRow="0" w:firstColumn="0" w:lastColumn="0" w:noHBand="0" w:noVBand="0"/>
      </w:tblPr>
      <w:tblGrid>
        <w:gridCol w:w="2895"/>
        <w:gridCol w:w="1620"/>
        <w:gridCol w:w="1440"/>
        <w:gridCol w:w="1440"/>
        <w:gridCol w:w="1620"/>
      </w:tblGrid>
      <w:tr w:rsidR="00885DC0" w:rsidTr="00C634AA">
        <w:trPr>
          <w:trHeight w:val="255"/>
        </w:trPr>
        <w:tc>
          <w:tcPr>
            <w:tcW w:w="2895" w:type="dxa"/>
            <w:tcBorders>
              <w:top w:val="single" w:sz="4" w:space="0" w:color="auto"/>
              <w:left w:val="single" w:sz="4" w:space="0" w:color="auto"/>
              <w:bottom w:val="single" w:sz="4" w:space="0" w:color="auto"/>
              <w:right w:val="single" w:sz="4" w:space="0" w:color="auto"/>
            </w:tcBorders>
            <w:vAlign w:val="bottom"/>
          </w:tcPr>
          <w:p w:rsidR="00885DC0" w:rsidRDefault="00885DC0" w:rsidP="00C634AA">
            <w:pPr>
              <w:rPr>
                <w:sz w:val="19"/>
              </w:rPr>
            </w:pPr>
            <w:r>
              <w:rPr>
                <w:sz w:val="19"/>
              </w:rPr>
              <w:t> </w:t>
            </w:r>
          </w:p>
        </w:tc>
        <w:tc>
          <w:tcPr>
            <w:tcW w:w="1620" w:type="dxa"/>
            <w:tcBorders>
              <w:top w:val="single" w:sz="4" w:space="0" w:color="auto"/>
              <w:left w:val="nil"/>
              <w:bottom w:val="single" w:sz="4" w:space="0" w:color="auto"/>
              <w:right w:val="single" w:sz="4" w:space="0" w:color="auto"/>
            </w:tcBorders>
            <w:vAlign w:val="bottom"/>
          </w:tcPr>
          <w:p w:rsidR="00885DC0" w:rsidRDefault="00885DC0" w:rsidP="00C634AA">
            <w:pPr>
              <w:jc w:val="right"/>
              <w:rPr>
                <w:sz w:val="19"/>
              </w:rPr>
            </w:pPr>
            <w:r>
              <w:rPr>
                <w:sz w:val="19"/>
              </w:rPr>
              <w:t>1</w:t>
            </w:r>
          </w:p>
        </w:tc>
        <w:tc>
          <w:tcPr>
            <w:tcW w:w="1440" w:type="dxa"/>
            <w:tcBorders>
              <w:top w:val="single" w:sz="4" w:space="0" w:color="auto"/>
              <w:left w:val="nil"/>
              <w:bottom w:val="single" w:sz="4" w:space="0" w:color="auto"/>
              <w:right w:val="single" w:sz="4" w:space="0" w:color="auto"/>
            </w:tcBorders>
            <w:vAlign w:val="bottom"/>
          </w:tcPr>
          <w:p w:rsidR="00885DC0" w:rsidRDefault="00885DC0" w:rsidP="00C634AA">
            <w:pPr>
              <w:jc w:val="right"/>
              <w:rPr>
                <w:sz w:val="19"/>
              </w:rPr>
            </w:pPr>
            <w:r>
              <w:rPr>
                <w:sz w:val="19"/>
              </w:rPr>
              <w:t>2</w:t>
            </w:r>
          </w:p>
        </w:tc>
        <w:tc>
          <w:tcPr>
            <w:tcW w:w="1440" w:type="dxa"/>
            <w:tcBorders>
              <w:top w:val="single" w:sz="4" w:space="0" w:color="auto"/>
              <w:left w:val="nil"/>
              <w:bottom w:val="single" w:sz="4" w:space="0" w:color="auto"/>
              <w:right w:val="single" w:sz="4" w:space="0" w:color="auto"/>
            </w:tcBorders>
            <w:vAlign w:val="bottom"/>
          </w:tcPr>
          <w:p w:rsidR="00885DC0" w:rsidRDefault="00885DC0" w:rsidP="00C634AA">
            <w:pPr>
              <w:jc w:val="right"/>
              <w:rPr>
                <w:sz w:val="19"/>
              </w:rPr>
            </w:pPr>
            <w:r>
              <w:rPr>
                <w:sz w:val="19"/>
              </w:rPr>
              <w:t>3</w:t>
            </w:r>
          </w:p>
        </w:tc>
        <w:tc>
          <w:tcPr>
            <w:tcW w:w="1620" w:type="dxa"/>
            <w:tcBorders>
              <w:top w:val="single" w:sz="4" w:space="0" w:color="auto"/>
              <w:left w:val="nil"/>
              <w:bottom w:val="single" w:sz="4" w:space="0" w:color="auto"/>
              <w:right w:val="single" w:sz="4" w:space="0" w:color="auto"/>
            </w:tcBorders>
            <w:vAlign w:val="bottom"/>
          </w:tcPr>
          <w:p w:rsidR="00885DC0" w:rsidRDefault="00885DC0" w:rsidP="00C634AA">
            <w:pPr>
              <w:jc w:val="right"/>
              <w:rPr>
                <w:sz w:val="19"/>
              </w:rPr>
            </w:pPr>
            <w:r>
              <w:rPr>
                <w:sz w:val="19"/>
              </w:rPr>
              <w:t>4</w:t>
            </w:r>
          </w:p>
        </w:tc>
      </w:tr>
      <w:tr w:rsidR="00885DC0" w:rsidTr="00C634AA">
        <w:trPr>
          <w:trHeight w:val="255"/>
        </w:trPr>
        <w:tc>
          <w:tcPr>
            <w:tcW w:w="2895" w:type="dxa"/>
            <w:tcBorders>
              <w:top w:val="nil"/>
              <w:left w:val="single" w:sz="4" w:space="0" w:color="auto"/>
              <w:bottom w:val="single" w:sz="4" w:space="0" w:color="auto"/>
              <w:right w:val="single" w:sz="4" w:space="0" w:color="auto"/>
            </w:tcBorders>
            <w:vAlign w:val="bottom"/>
          </w:tcPr>
          <w:p w:rsidR="00885DC0" w:rsidRDefault="00885DC0" w:rsidP="00C634AA">
            <w:pPr>
              <w:rPr>
                <w:sz w:val="19"/>
              </w:rPr>
            </w:pPr>
            <w:r>
              <w:rPr>
                <w:sz w:val="19"/>
              </w:rPr>
              <w:t xml:space="preserve">Chiffre d’affaires </w:t>
            </w:r>
          </w:p>
        </w:tc>
        <w:tc>
          <w:tcPr>
            <w:tcW w:w="1620" w:type="dxa"/>
            <w:tcBorders>
              <w:top w:val="nil"/>
              <w:left w:val="nil"/>
              <w:bottom w:val="single" w:sz="4" w:space="0" w:color="auto"/>
              <w:right w:val="single" w:sz="4" w:space="0" w:color="auto"/>
            </w:tcBorders>
            <w:vAlign w:val="bottom"/>
          </w:tcPr>
          <w:p w:rsidR="00885DC0" w:rsidRDefault="00885DC0" w:rsidP="00C634AA">
            <w:pPr>
              <w:jc w:val="right"/>
              <w:rPr>
                <w:sz w:val="19"/>
              </w:rPr>
            </w:pPr>
            <w:r>
              <w:rPr>
                <w:sz w:val="19"/>
              </w:rPr>
              <w:t>65000</w:t>
            </w:r>
          </w:p>
        </w:tc>
        <w:tc>
          <w:tcPr>
            <w:tcW w:w="1440" w:type="dxa"/>
            <w:tcBorders>
              <w:top w:val="nil"/>
              <w:left w:val="nil"/>
              <w:bottom w:val="single" w:sz="4" w:space="0" w:color="auto"/>
              <w:right w:val="single" w:sz="4" w:space="0" w:color="auto"/>
            </w:tcBorders>
            <w:vAlign w:val="bottom"/>
          </w:tcPr>
          <w:p w:rsidR="00885DC0" w:rsidRDefault="00885DC0" w:rsidP="00C634AA">
            <w:pPr>
              <w:jc w:val="right"/>
              <w:rPr>
                <w:sz w:val="19"/>
              </w:rPr>
            </w:pPr>
            <w:r>
              <w:rPr>
                <w:sz w:val="19"/>
              </w:rPr>
              <w:t>65000</w:t>
            </w:r>
          </w:p>
        </w:tc>
        <w:tc>
          <w:tcPr>
            <w:tcW w:w="1440" w:type="dxa"/>
            <w:tcBorders>
              <w:top w:val="nil"/>
              <w:left w:val="nil"/>
              <w:bottom w:val="single" w:sz="4" w:space="0" w:color="auto"/>
              <w:right w:val="single" w:sz="4" w:space="0" w:color="auto"/>
            </w:tcBorders>
            <w:vAlign w:val="bottom"/>
          </w:tcPr>
          <w:p w:rsidR="00885DC0" w:rsidRDefault="00885DC0" w:rsidP="00C634AA">
            <w:pPr>
              <w:jc w:val="right"/>
              <w:rPr>
                <w:sz w:val="19"/>
              </w:rPr>
            </w:pPr>
            <w:r>
              <w:rPr>
                <w:sz w:val="19"/>
              </w:rPr>
              <w:t>60000</w:t>
            </w:r>
          </w:p>
        </w:tc>
        <w:tc>
          <w:tcPr>
            <w:tcW w:w="1620" w:type="dxa"/>
            <w:tcBorders>
              <w:top w:val="nil"/>
              <w:left w:val="nil"/>
              <w:bottom w:val="single" w:sz="4" w:space="0" w:color="auto"/>
              <w:right w:val="single" w:sz="4" w:space="0" w:color="auto"/>
            </w:tcBorders>
            <w:vAlign w:val="bottom"/>
          </w:tcPr>
          <w:p w:rsidR="00885DC0" w:rsidRDefault="00885DC0" w:rsidP="00C634AA">
            <w:pPr>
              <w:jc w:val="right"/>
              <w:rPr>
                <w:sz w:val="19"/>
              </w:rPr>
            </w:pPr>
            <w:r>
              <w:rPr>
                <w:sz w:val="19"/>
              </w:rPr>
              <w:t>60000</w:t>
            </w:r>
          </w:p>
        </w:tc>
      </w:tr>
      <w:tr w:rsidR="00885DC0" w:rsidTr="00C634AA">
        <w:trPr>
          <w:trHeight w:val="255"/>
        </w:trPr>
        <w:tc>
          <w:tcPr>
            <w:tcW w:w="2895" w:type="dxa"/>
            <w:tcBorders>
              <w:top w:val="nil"/>
              <w:left w:val="single" w:sz="4" w:space="0" w:color="auto"/>
              <w:bottom w:val="single" w:sz="4" w:space="0" w:color="auto"/>
              <w:right w:val="single" w:sz="4" w:space="0" w:color="auto"/>
            </w:tcBorders>
            <w:vAlign w:val="bottom"/>
          </w:tcPr>
          <w:p w:rsidR="00885DC0" w:rsidRDefault="00885DC0" w:rsidP="00C634AA">
            <w:pPr>
              <w:rPr>
                <w:sz w:val="19"/>
              </w:rPr>
            </w:pPr>
            <w:r>
              <w:rPr>
                <w:sz w:val="19"/>
              </w:rPr>
              <w:t>Charges d’exploitation</w:t>
            </w:r>
          </w:p>
        </w:tc>
        <w:tc>
          <w:tcPr>
            <w:tcW w:w="1620" w:type="dxa"/>
            <w:tcBorders>
              <w:top w:val="nil"/>
              <w:left w:val="nil"/>
              <w:bottom w:val="single" w:sz="4" w:space="0" w:color="auto"/>
              <w:right w:val="single" w:sz="4" w:space="0" w:color="auto"/>
            </w:tcBorders>
            <w:vAlign w:val="bottom"/>
          </w:tcPr>
          <w:p w:rsidR="00885DC0" w:rsidRDefault="00885DC0" w:rsidP="00C634AA">
            <w:pPr>
              <w:jc w:val="right"/>
              <w:rPr>
                <w:sz w:val="19"/>
              </w:rPr>
            </w:pPr>
            <w:r>
              <w:rPr>
                <w:sz w:val="19"/>
              </w:rPr>
              <w:t>40000</w:t>
            </w:r>
          </w:p>
        </w:tc>
        <w:tc>
          <w:tcPr>
            <w:tcW w:w="1440" w:type="dxa"/>
            <w:tcBorders>
              <w:top w:val="nil"/>
              <w:left w:val="nil"/>
              <w:bottom w:val="single" w:sz="4" w:space="0" w:color="auto"/>
              <w:right w:val="single" w:sz="4" w:space="0" w:color="auto"/>
            </w:tcBorders>
            <w:vAlign w:val="bottom"/>
          </w:tcPr>
          <w:p w:rsidR="00885DC0" w:rsidRDefault="00885DC0" w:rsidP="00C634AA">
            <w:pPr>
              <w:jc w:val="right"/>
              <w:rPr>
                <w:sz w:val="19"/>
              </w:rPr>
            </w:pPr>
            <w:r>
              <w:rPr>
                <w:sz w:val="19"/>
              </w:rPr>
              <w:t>40000</w:t>
            </w:r>
          </w:p>
        </w:tc>
        <w:tc>
          <w:tcPr>
            <w:tcW w:w="1440" w:type="dxa"/>
            <w:tcBorders>
              <w:top w:val="nil"/>
              <w:left w:val="nil"/>
              <w:bottom w:val="single" w:sz="4" w:space="0" w:color="auto"/>
              <w:right w:val="single" w:sz="4" w:space="0" w:color="auto"/>
            </w:tcBorders>
            <w:vAlign w:val="bottom"/>
          </w:tcPr>
          <w:p w:rsidR="00885DC0" w:rsidRDefault="00885DC0" w:rsidP="00C634AA">
            <w:pPr>
              <w:jc w:val="right"/>
              <w:rPr>
                <w:sz w:val="19"/>
              </w:rPr>
            </w:pPr>
            <w:r>
              <w:rPr>
                <w:sz w:val="19"/>
              </w:rPr>
              <w:t>50000</w:t>
            </w:r>
          </w:p>
        </w:tc>
        <w:tc>
          <w:tcPr>
            <w:tcW w:w="1620" w:type="dxa"/>
            <w:tcBorders>
              <w:top w:val="nil"/>
              <w:left w:val="nil"/>
              <w:bottom w:val="single" w:sz="4" w:space="0" w:color="auto"/>
              <w:right w:val="single" w:sz="4" w:space="0" w:color="auto"/>
            </w:tcBorders>
            <w:vAlign w:val="bottom"/>
          </w:tcPr>
          <w:p w:rsidR="00885DC0" w:rsidRDefault="00885DC0" w:rsidP="00C634AA">
            <w:pPr>
              <w:jc w:val="right"/>
              <w:rPr>
                <w:sz w:val="19"/>
              </w:rPr>
            </w:pPr>
            <w:r>
              <w:rPr>
                <w:sz w:val="19"/>
              </w:rPr>
              <w:t>50000</w:t>
            </w:r>
          </w:p>
        </w:tc>
      </w:tr>
    </w:tbl>
    <w:p w:rsidR="00885DC0" w:rsidRDefault="00885DC0" w:rsidP="00885DC0"/>
    <w:p w:rsidR="00885DC0" w:rsidRDefault="00885DC0" w:rsidP="00885DC0"/>
    <w:tbl>
      <w:tblPr>
        <w:tblW w:w="0" w:type="auto"/>
        <w:tblInd w:w="55" w:type="dxa"/>
        <w:tblLayout w:type="fixed"/>
        <w:tblCellMar>
          <w:left w:w="70" w:type="dxa"/>
          <w:right w:w="70" w:type="dxa"/>
        </w:tblCellMar>
        <w:tblLook w:val="0000" w:firstRow="0" w:lastRow="0" w:firstColumn="0" w:lastColumn="0" w:noHBand="0" w:noVBand="0"/>
      </w:tblPr>
      <w:tblGrid>
        <w:gridCol w:w="1940"/>
        <w:gridCol w:w="1200"/>
        <w:gridCol w:w="1200"/>
        <w:gridCol w:w="1200"/>
        <w:gridCol w:w="1200"/>
      </w:tblGrid>
      <w:tr w:rsidR="00885DC0" w:rsidTr="00C634AA">
        <w:trPr>
          <w:trHeight w:val="285"/>
        </w:trPr>
        <w:tc>
          <w:tcPr>
            <w:tcW w:w="1940" w:type="dxa"/>
            <w:tcBorders>
              <w:top w:val="single" w:sz="4" w:space="0" w:color="auto"/>
              <w:left w:val="single" w:sz="4" w:space="0" w:color="auto"/>
              <w:bottom w:val="single" w:sz="4" w:space="0" w:color="auto"/>
              <w:right w:val="nil"/>
            </w:tcBorders>
            <w:vAlign w:val="bottom"/>
          </w:tcPr>
          <w:p w:rsidR="00885DC0" w:rsidRDefault="00885DC0" w:rsidP="00C634AA">
            <w:pPr>
              <w:keepLines w:val="0"/>
            </w:pPr>
            <w:r>
              <w:t> </w:t>
            </w:r>
          </w:p>
        </w:tc>
        <w:tc>
          <w:tcPr>
            <w:tcW w:w="2400" w:type="dxa"/>
            <w:gridSpan w:val="2"/>
            <w:tcBorders>
              <w:top w:val="single" w:sz="4" w:space="0" w:color="auto"/>
              <w:left w:val="nil"/>
              <w:bottom w:val="single" w:sz="4" w:space="0" w:color="auto"/>
              <w:right w:val="nil"/>
            </w:tcBorders>
            <w:vAlign w:val="bottom"/>
          </w:tcPr>
          <w:p w:rsidR="00885DC0" w:rsidRDefault="00885DC0" w:rsidP="00C634AA">
            <w:pPr>
              <w:keepLines w:val="0"/>
            </w:pPr>
            <w:r>
              <w:t>extrait table financière</w:t>
            </w:r>
          </w:p>
        </w:tc>
        <w:tc>
          <w:tcPr>
            <w:tcW w:w="1200" w:type="dxa"/>
            <w:tcBorders>
              <w:top w:val="single" w:sz="4" w:space="0" w:color="auto"/>
              <w:left w:val="nil"/>
              <w:bottom w:val="single" w:sz="4" w:space="0" w:color="auto"/>
              <w:right w:val="nil"/>
            </w:tcBorders>
            <w:vAlign w:val="bottom"/>
          </w:tcPr>
          <w:p w:rsidR="00885DC0" w:rsidRDefault="00885DC0" w:rsidP="00C634AA">
            <w:pPr>
              <w:keepLines w:val="0"/>
            </w:pPr>
            <w:proofErr w:type="gramStart"/>
            <w:r>
              <w:t>1,O</w:t>
            </w:r>
            <w:proofErr w:type="gramEnd"/>
            <w:r>
              <w:t>5</w:t>
            </w:r>
            <w:r>
              <w:rPr>
                <w:vertAlign w:val="superscript"/>
              </w:rPr>
              <w:t xml:space="preserve"> -i</w:t>
            </w:r>
          </w:p>
        </w:tc>
        <w:tc>
          <w:tcPr>
            <w:tcW w:w="1200" w:type="dxa"/>
            <w:tcBorders>
              <w:top w:val="single" w:sz="4" w:space="0" w:color="auto"/>
              <w:left w:val="nil"/>
              <w:bottom w:val="single" w:sz="4" w:space="0" w:color="auto"/>
              <w:right w:val="single" w:sz="4" w:space="0" w:color="auto"/>
            </w:tcBorders>
            <w:vAlign w:val="bottom"/>
          </w:tcPr>
          <w:p w:rsidR="00885DC0" w:rsidRDefault="00885DC0" w:rsidP="00C634AA">
            <w:pPr>
              <w:keepLines w:val="0"/>
            </w:pPr>
            <w:r>
              <w:t> </w:t>
            </w:r>
          </w:p>
        </w:tc>
      </w:tr>
      <w:tr w:rsidR="00885DC0" w:rsidTr="00C634AA">
        <w:trPr>
          <w:trHeight w:val="255"/>
        </w:trPr>
        <w:tc>
          <w:tcPr>
            <w:tcW w:w="1940" w:type="dxa"/>
            <w:tcBorders>
              <w:top w:val="nil"/>
              <w:left w:val="single" w:sz="4" w:space="0" w:color="auto"/>
              <w:bottom w:val="single" w:sz="4" w:space="0" w:color="auto"/>
              <w:right w:val="single" w:sz="4" w:space="0" w:color="auto"/>
            </w:tcBorders>
            <w:vAlign w:val="bottom"/>
          </w:tcPr>
          <w:p w:rsidR="00885DC0" w:rsidRDefault="00885DC0" w:rsidP="00C634AA">
            <w:pPr>
              <w:keepLines w:val="0"/>
            </w:pPr>
            <w:r>
              <w:t> </w:t>
            </w:r>
          </w:p>
        </w:tc>
        <w:tc>
          <w:tcPr>
            <w:tcW w:w="1200" w:type="dxa"/>
            <w:tcBorders>
              <w:top w:val="nil"/>
              <w:left w:val="nil"/>
              <w:bottom w:val="single" w:sz="4" w:space="0" w:color="auto"/>
              <w:right w:val="single" w:sz="4" w:space="0" w:color="auto"/>
            </w:tcBorders>
            <w:vAlign w:val="bottom"/>
          </w:tcPr>
          <w:p w:rsidR="00885DC0" w:rsidRDefault="00885DC0" w:rsidP="00C634AA">
            <w:pPr>
              <w:keepLines w:val="0"/>
            </w:pPr>
            <w:r>
              <w:t> </w:t>
            </w:r>
          </w:p>
        </w:tc>
        <w:tc>
          <w:tcPr>
            <w:tcW w:w="1200" w:type="dxa"/>
            <w:tcBorders>
              <w:top w:val="nil"/>
              <w:left w:val="nil"/>
              <w:bottom w:val="single" w:sz="4" w:space="0" w:color="auto"/>
              <w:right w:val="single" w:sz="4" w:space="0" w:color="auto"/>
            </w:tcBorders>
            <w:vAlign w:val="bottom"/>
          </w:tcPr>
          <w:p w:rsidR="00885DC0" w:rsidRDefault="00885DC0" w:rsidP="00C634AA">
            <w:pPr>
              <w:keepLines w:val="0"/>
            </w:pPr>
            <w:r>
              <w:t> </w:t>
            </w:r>
          </w:p>
        </w:tc>
        <w:tc>
          <w:tcPr>
            <w:tcW w:w="1200" w:type="dxa"/>
            <w:tcBorders>
              <w:top w:val="nil"/>
              <w:left w:val="nil"/>
              <w:bottom w:val="single" w:sz="4" w:space="0" w:color="auto"/>
              <w:right w:val="single" w:sz="4" w:space="0" w:color="auto"/>
            </w:tcBorders>
            <w:vAlign w:val="bottom"/>
          </w:tcPr>
          <w:p w:rsidR="00885DC0" w:rsidRDefault="00885DC0" w:rsidP="00C634AA">
            <w:pPr>
              <w:keepLines w:val="0"/>
            </w:pPr>
            <w:r>
              <w:t> </w:t>
            </w:r>
          </w:p>
        </w:tc>
        <w:tc>
          <w:tcPr>
            <w:tcW w:w="1200" w:type="dxa"/>
            <w:tcBorders>
              <w:top w:val="nil"/>
              <w:left w:val="nil"/>
              <w:bottom w:val="single" w:sz="4" w:space="0" w:color="auto"/>
              <w:right w:val="single" w:sz="4" w:space="0" w:color="auto"/>
            </w:tcBorders>
            <w:vAlign w:val="bottom"/>
          </w:tcPr>
          <w:p w:rsidR="00885DC0" w:rsidRDefault="00885DC0" w:rsidP="00C634AA">
            <w:pPr>
              <w:keepLines w:val="0"/>
            </w:pPr>
            <w:r>
              <w:t> </w:t>
            </w:r>
          </w:p>
        </w:tc>
      </w:tr>
      <w:tr w:rsidR="00885DC0" w:rsidTr="00C634AA">
        <w:trPr>
          <w:trHeight w:val="255"/>
        </w:trPr>
        <w:tc>
          <w:tcPr>
            <w:tcW w:w="1940" w:type="dxa"/>
            <w:tcBorders>
              <w:top w:val="nil"/>
              <w:left w:val="single" w:sz="4" w:space="0" w:color="auto"/>
              <w:bottom w:val="single" w:sz="4" w:space="0" w:color="auto"/>
              <w:right w:val="single" w:sz="4" w:space="0" w:color="auto"/>
            </w:tcBorders>
            <w:vAlign w:val="bottom"/>
          </w:tcPr>
          <w:p w:rsidR="00885DC0" w:rsidRDefault="00885DC0" w:rsidP="00C634AA">
            <w:pPr>
              <w:keepLines w:val="0"/>
            </w:pPr>
            <w:r>
              <w:t xml:space="preserve">année </w:t>
            </w:r>
          </w:p>
        </w:tc>
        <w:tc>
          <w:tcPr>
            <w:tcW w:w="1200" w:type="dxa"/>
            <w:tcBorders>
              <w:top w:val="nil"/>
              <w:left w:val="nil"/>
              <w:bottom w:val="single" w:sz="4" w:space="0" w:color="auto"/>
              <w:right w:val="single" w:sz="4" w:space="0" w:color="auto"/>
            </w:tcBorders>
            <w:vAlign w:val="bottom"/>
          </w:tcPr>
          <w:p w:rsidR="00885DC0" w:rsidRDefault="00885DC0" w:rsidP="00C634AA">
            <w:pPr>
              <w:keepLines w:val="0"/>
            </w:pPr>
            <w:r>
              <w:t>année 1</w:t>
            </w:r>
          </w:p>
        </w:tc>
        <w:tc>
          <w:tcPr>
            <w:tcW w:w="1200" w:type="dxa"/>
            <w:tcBorders>
              <w:top w:val="nil"/>
              <w:left w:val="nil"/>
              <w:bottom w:val="single" w:sz="4" w:space="0" w:color="auto"/>
              <w:right w:val="single" w:sz="4" w:space="0" w:color="auto"/>
            </w:tcBorders>
            <w:vAlign w:val="bottom"/>
          </w:tcPr>
          <w:p w:rsidR="00885DC0" w:rsidRDefault="00885DC0" w:rsidP="00C634AA">
            <w:pPr>
              <w:keepLines w:val="0"/>
            </w:pPr>
            <w:r>
              <w:t>année 2</w:t>
            </w:r>
          </w:p>
        </w:tc>
        <w:tc>
          <w:tcPr>
            <w:tcW w:w="1200" w:type="dxa"/>
            <w:tcBorders>
              <w:top w:val="nil"/>
              <w:left w:val="nil"/>
              <w:bottom w:val="single" w:sz="4" w:space="0" w:color="auto"/>
              <w:right w:val="single" w:sz="4" w:space="0" w:color="auto"/>
            </w:tcBorders>
            <w:vAlign w:val="bottom"/>
          </w:tcPr>
          <w:p w:rsidR="00885DC0" w:rsidRDefault="00885DC0" w:rsidP="00C634AA">
            <w:pPr>
              <w:keepLines w:val="0"/>
            </w:pPr>
            <w:r>
              <w:t>année 3</w:t>
            </w:r>
          </w:p>
        </w:tc>
        <w:tc>
          <w:tcPr>
            <w:tcW w:w="1200" w:type="dxa"/>
            <w:tcBorders>
              <w:top w:val="nil"/>
              <w:left w:val="nil"/>
              <w:bottom w:val="single" w:sz="4" w:space="0" w:color="auto"/>
              <w:right w:val="single" w:sz="4" w:space="0" w:color="auto"/>
            </w:tcBorders>
            <w:vAlign w:val="bottom"/>
          </w:tcPr>
          <w:p w:rsidR="00885DC0" w:rsidRDefault="00885DC0" w:rsidP="00C634AA">
            <w:pPr>
              <w:keepLines w:val="0"/>
            </w:pPr>
            <w:r>
              <w:t>année 4</w:t>
            </w:r>
          </w:p>
        </w:tc>
      </w:tr>
      <w:tr w:rsidR="00885DC0" w:rsidTr="00C634AA">
        <w:trPr>
          <w:trHeight w:val="255"/>
        </w:trPr>
        <w:tc>
          <w:tcPr>
            <w:tcW w:w="1940" w:type="dxa"/>
            <w:tcBorders>
              <w:top w:val="nil"/>
              <w:left w:val="single" w:sz="4" w:space="0" w:color="auto"/>
              <w:bottom w:val="single" w:sz="4" w:space="0" w:color="auto"/>
              <w:right w:val="single" w:sz="4" w:space="0" w:color="auto"/>
            </w:tcBorders>
            <w:vAlign w:val="bottom"/>
          </w:tcPr>
          <w:p w:rsidR="00885DC0" w:rsidRDefault="00885DC0" w:rsidP="00C634AA">
            <w:pPr>
              <w:keepLines w:val="0"/>
            </w:pPr>
            <w:proofErr w:type="gramStart"/>
            <w:r>
              <w:t>valeur</w:t>
            </w:r>
            <w:proofErr w:type="gramEnd"/>
            <w:r>
              <w:t xml:space="preserve"> taux   1,O5</w:t>
            </w:r>
            <w:r>
              <w:rPr>
                <w:vertAlign w:val="superscript"/>
              </w:rPr>
              <w:t xml:space="preserve"> –i</w:t>
            </w:r>
          </w:p>
        </w:tc>
        <w:tc>
          <w:tcPr>
            <w:tcW w:w="1200" w:type="dxa"/>
            <w:tcBorders>
              <w:top w:val="nil"/>
              <w:left w:val="nil"/>
              <w:bottom w:val="single" w:sz="4" w:space="0" w:color="auto"/>
              <w:right w:val="single" w:sz="4" w:space="0" w:color="auto"/>
            </w:tcBorders>
            <w:vAlign w:val="bottom"/>
          </w:tcPr>
          <w:p w:rsidR="00885DC0" w:rsidRDefault="00885DC0" w:rsidP="00C634AA">
            <w:pPr>
              <w:keepLines w:val="0"/>
              <w:jc w:val="right"/>
            </w:pPr>
            <w:r>
              <w:t>0,9524</w:t>
            </w:r>
          </w:p>
        </w:tc>
        <w:tc>
          <w:tcPr>
            <w:tcW w:w="1200" w:type="dxa"/>
            <w:tcBorders>
              <w:top w:val="nil"/>
              <w:left w:val="nil"/>
              <w:bottom w:val="single" w:sz="4" w:space="0" w:color="auto"/>
              <w:right w:val="single" w:sz="4" w:space="0" w:color="auto"/>
            </w:tcBorders>
            <w:vAlign w:val="bottom"/>
          </w:tcPr>
          <w:p w:rsidR="00885DC0" w:rsidRDefault="00885DC0" w:rsidP="00C634AA">
            <w:pPr>
              <w:keepLines w:val="0"/>
              <w:jc w:val="right"/>
            </w:pPr>
            <w:r>
              <w:t>0,9070</w:t>
            </w:r>
          </w:p>
        </w:tc>
        <w:tc>
          <w:tcPr>
            <w:tcW w:w="1200" w:type="dxa"/>
            <w:tcBorders>
              <w:top w:val="nil"/>
              <w:left w:val="nil"/>
              <w:bottom w:val="single" w:sz="4" w:space="0" w:color="auto"/>
              <w:right w:val="single" w:sz="4" w:space="0" w:color="auto"/>
            </w:tcBorders>
            <w:vAlign w:val="bottom"/>
          </w:tcPr>
          <w:p w:rsidR="00885DC0" w:rsidRDefault="00885DC0" w:rsidP="00C634AA">
            <w:pPr>
              <w:keepLines w:val="0"/>
              <w:jc w:val="right"/>
            </w:pPr>
            <w:r>
              <w:t>0,8638</w:t>
            </w:r>
          </w:p>
        </w:tc>
        <w:tc>
          <w:tcPr>
            <w:tcW w:w="1200" w:type="dxa"/>
            <w:tcBorders>
              <w:top w:val="nil"/>
              <w:left w:val="nil"/>
              <w:bottom w:val="single" w:sz="4" w:space="0" w:color="auto"/>
              <w:right w:val="single" w:sz="4" w:space="0" w:color="auto"/>
            </w:tcBorders>
            <w:vAlign w:val="bottom"/>
          </w:tcPr>
          <w:p w:rsidR="00885DC0" w:rsidRDefault="00885DC0" w:rsidP="00C634AA">
            <w:pPr>
              <w:keepLines w:val="0"/>
              <w:jc w:val="right"/>
            </w:pPr>
            <w:r>
              <w:t>0,8227</w:t>
            </w:r>
          </w:p>
        </w:tc>
      </w:tr>
    </w:tbl>
    <w:p w:rsidR="00885DC0" w:rsidRDefault="00885DC0"/>
    <w:sectPr w:rsidR="00885DC0" w:rsidSect="000664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E8E94DA"/>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rPr>
        <w:lang w:val="fr-FR"/>
      </w:rPr>
    </w:lvl>
    <w:lvl w:ilvl="2">
      <w:start w:val="1"/>
      <w:numFmt w:val="decimal"/>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3EF9054F"/>
    <w:multiLevelType w:val="multilevel"/>
    <w:tmpl w:val="45900F7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color w:val="auto"/>
        <w:sz w:val="20"/>
        <w:szCs w:val="2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C0"/>
    <w:rsid w:val="0006647A"/>
    <w:rsid w:val="00581075"/>
    <w:rsid w:val="00885DC0"/>
    <w:rsid w:val="00C641E4"/>
    <w:rsid w:val="00F86D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929010-252F-411B-91F1-271B4F97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DC0"/>
    <w:pPr>
      <w:keepLines/>
      <w:spacing w:after="0" w:line="240" w:lineRule="auto"/>
    </w:pPr>
    <w:rPr>
      <w:rFonts w:ascii="Arial" w:eastAsia="Times New Roman" w:hAnsi="Arial" w:cs="Times New Roman"/>
      <w:sz w:val="20"/>
      <w:szCs w:val="20"/>
      <w:lang w:eastAsia="fr-FR"/>
    </w:rPr>
  </w:style>
  <w:style w:type="paragraph" w:styleId="Titre1">
    <w:name w:val="heading 1"/>
    <w:basedOn w:val="Normal"/>
    <w:next w:val="Normal"/>
    <w:link w:val="Titre1Car"/>
    <w:qFormat/>
    <w:rsid w:val="00885DC0"/>
    <w:pPr>
      <w:keepNext/>
      <w:numPr>
        <w:numId w:val="1"/>
      </w:numPr>
      <w:pBdr>
        <w:top w:val="single" w:sz="6" w:space="1" w:color="auto"/>
        <w:left w:val="single" w:sz="6" w:space="1" w:color="auto"/>
        <w:bottom w:val="single" w:sz="6" w:space="1" w:color="auto"/>
        <w:right w:val="single" w:sz="6" w:space="1" w:color="auto"/>
      </w:pBdr>
      <w:spacing w:before="360" w:after="120"/>
      <w:outlineLvl w:val="0"/>
    </w:pPr>
    <w:rPr>
      <w:b/>
      <w:sz w:val="24"/>
    </w:rPr>
  </w:style>
  <w:style w:type="paragraph" w:styleId="Titre2">
    <w:name w:val="heading 2"/>
    <w:basedOn w:val="Normal"/>
    <w:next w:val="Normal"/>
    <w:link w:val="Titre2Car"/>
    <w:qFormat/>
    <w:rsid w:val="00885DC0"/>
    <w:pPr>
      <w:keepNext/>
      <w:numPr>
        <w:ilvl w:val="1"/>
        <w:numId w:val="1"/>
      </w:numPr>
      <w:spacing w:before="240" w:after="120"/>
      <w:outlineLvl w:val="1"/>
    </w:pPr>
    <w:rPr>
      <w:b/>
      <w:sz w:val="24"/>
      <w:u w:val="single"/>
    </w:rPr>
  </w:style>
  <w:style w:type="paragraph" w:styleId="Titre4">
    <w:name w:val="heading 4"/>
    <w:basedOn w:val="Normal"/>
    <w:next w:val="Normal"/>
    <w:link w:val="Titre4Car"/>
    <w:qFormat/>
    <w:rsid w:val="00885DC0"/>
    <w:pPr>
      <w:keepNext/>
      <w:numPr>
        <w:ilvl w:val="3"/>
        <w:numId w:val="1"/>
      </w:numPr>
      <w:spacing w:before="120"/>
      <w:outlineLvl w:val="3"/>
    </w:pPr>
    <w:rPr>
      <w:sz w:val="24"/>
    </w:rPr>
  </w:style>
  <w:style w:type="paragraph" w:styleId="Titre5">
    <w:name w:val="heading 5"/>
    <w:basedOn w:val="Normal"/>
    <w:next w:val="Normal"/>
    <w:link w:val="Titre5Car"/>
    <w:qFormat/>
    <w:rsid w:val="00885DC0"/>
    <w:pPr>
      <w:keepNext/>
      <w:numPr>
        <w:ilvl w:val="4"/>
        <w:numId w:val="1"/>
      </w:numPr>
      <w:spacing w:before="120"/>
      <w:outlineLvl w:val="4"/>
    </w:pPr>
    <w:rPr>
      <w:sz w:val="24"/>
    </w:rPr>
  </w:style>
  <w:style w:type="paragraph" w:styleId="Titre6">
    <w:name w:val="heading 6"/>
    <w:basedOn w:val="Normal"/>
    <w:next w:val="Normal"/>
    <w:link w:val="Titre6Car"/>
    <w:qFormat/>
    <w:rsid w:val="00885DC0"/>
    <w:pPr>
      <w:numPr>
        <w:ilvl w:val="5"/>
        <w:numId w:val="1"/>
      </w:numPr>
      <w:spacing w:before="240" w:after="60"/>
      <w:outlineLvl w:val="5"/>
    </w:pPr>
    <w:rPr>
      <w:sz w:val="22"/>
    </w:rPr>
  </w:style>
  <w:style w:type="paragraph" w:styleId="Titre7">
    <w:name w:val="heading 7"/>
    <w:basedOn w:val="Normal"/>
    <w:next w:val="Normal"/>
    <w:link w:val="Titre7Car"/>
    <w:qFormat/>
    <w:rsid w:val="00885DC0"/>
    <w:pPr>
      <w:numPr>
        <w:ilvl w:val="6"/>
        <w:numId w:val="1"/>
      </w:numPr>
      <w:spacing w:before="240" w:after="60"/>
      <w:outlineLvl w:val="6"/>
    </w:pPr>
  </w:style>
  <w:style w:type="paragraph" w:styleId="Titre8">
    <w:name w:val="heading 8"/>
    <w:basedOn w:val="Normal"/>
    <w:next w:val="Normal"/>
    <w:link w:val="Titre8Car"/>
    <w:qFormat/>
    <w:rsid w:val="00885DC0"/>
    <w:pPr>
      <w:numPr>
        <w:ilvl w:val="7"/>
        <w:numId w:val="1"/>
      </w:numPr>
      <w:spacing w:before="240" w:after="60"/>
      <w:outlineLvl w:val="7"/>
    </w:pPr>
    <w:rPr>
      <w:i/>
    </w:rPr>
  </w:style>
  <w:style w:type="paragraph" w:styleId="Titre9">
    <w:name w:val="heading 9"/>
    <w:basedOn w:val="Normal"/>
    <w:next w:val="Normal"/>
    <w:link w:val="Titre9Car"/>
    <w:qFormat/>
    <w:rsid w:val="00885DC0"/>
    <w:pPr>
      <w:numPr>
        <w:ilvl w:val="8"/>
        <w:numId w:val="1"/>
      </w:numPr>
      <w:spacing w:before="240" w:after="60"/>
      <w:outlineLvl w:val="8"/>
    </w:pPr>
    <w:rPr>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85DC0"/>
    <w:rPr>
      <w:rFonts w:ascii="Arial" w:eastAsia="Times New Roman" w:hAnsi="Arial" w:cs="Times New Roman"/>
      <w:b/>
      <w:sz w:val="24"/>
      <w:szCs w:val="20"/>
      <w:lang w:eastAsia="fr-FR"/>
    </w:rPr>
  </w:style>
  <w:style w:type="character" w:customStyle="1" w:styleId="Titre2Car">
    <w:name w:val="Titre 2 Car"/>
    <w:basedOn w:val="Policepardfaut"/>
    <w:link w:val="Titre2"/>
    <w:rsid w:val="00885DC0"/>
    <w:rPr>
      <w:rFonts w:ascii="Arial" w:eastAsia="Times New Roman" w:hAnsi="Arial" w:cs="Times New Roman"/>
      <w:b/>
      <w:sz w:val="24"/>
      <w:szCs w:val="20"/>
      <w:u w:val="single"/>
      <w:lang w:eastAsia="fr-FR"/>
    </w:rPr>
  </w:style>
  <w:style w:type="character" w:customStyle="1" w:styleId="Titre4Car">
    <w:name w:val="Titre 4 Car"/>
    <w:basedOn w:val="Policepardfaut"/>
    <w:link w:val="Titre4"/>
    <w:rsid w:val="00885DC0"/>
    <w:rPr>
      <w:rFonts w:ascii="Arial" w:eastAsia="Times New Roman" w:hAnsi="Arial" w:cs="Times New Roman"/>
      <w:sz w:val="24"/>
      <w:szCs w:val="20"/>
      <w:lang w:eastAsia="fr-FR"/>
    </w:rPr>
  </w:style>
  <w:style w:type="character" w:customStyle="1" w:styleId="Titre5Car">
    <w:name w:val="Titre 5 Car"/>
    <w:basedOn w:val="Policepardfaut"/>
    <w:link w:val="Titre5"/>
    <w:rsid w:val="00885DC0"/>
    <w:rPr>
      <w:rFonts w:ascii="Arial" w:eastAsia="Times New Roman" w:hAnsi="Arial" w:cs="Times New Roman"/>
      <w:sz w:val="24"/>
      <w:szCs w:val="20"/>
      <w:lang w:eastAsia="fr-FR"/>
    </w:rPr>
  </w:style>
  <w:style w:type="character" w:customStyle="1" w:styleId="Titre6Car">
    <w:name w:val="Titre 6 Car"/>
    <w:basedOn w:val="Policepardfaut"/>
    <w:link w:val="Titre6"/>
    <w:rsid w:val="00885DC0"/>
    <w:rPr>
      <w:rFonts w:ascii="Arial" w:eastAsia="Times New Roman" w:hAnsi="Arial" w:cs="Times New Roman"/>
      <w:szCs w:val="20"/>
      <w:lang w:eastAsia="fr-FR"/>
    </w:rPr>
  </w:style>
  <w:style w:type="character" w:customStyle="1" w:styleId="Titre7Car">
    <w:name w:val="Titre 7 Car"/>
    <w:basedOn w:val="Policepardfaut"/>
    <w:link w:val="Titre7"/>
    <w:rsid w:val="00885DC0"/>
    <w:rPr>
      <w:rFonts w:ascii="Arial" w:eastAsia="Times New Roman" w:hAnsi="Arial" w:cs="Times New Roman"/>
      <w:sz w:val="20"/>
      <w:szCs w:val="20"/>
      <w:lang w:eastAsia="fr-FR"/>
    </w:rPr>
  </w:style>
  <w:style w:type="character" w:customStyle="1" w:styleId="Titre8Car">
    <w:name w:val="Titre 8 Car"/>
    <w:basedOn w:val="Policepardfaut"/>
    <w:link w:val="Titre8"/>
    <w:rsid w:val="00885DC0"/>
    <w:rPr>
      <w:rFonts w:ascii="Arial" w:eastAsia="Times New Roman" w:hAnsi="Arial" w:cs="Times New Roman"/>
      <w:i/>
      <w:sz w:val="20"/>
      <w:szCs w:val="20"/>
      <w:lang w:eastAsia="fr-FR"/>
    </w:rPr>
  </w:style>
  <w:style w:type="character" w:customStyle="1" w:styleId="Titre9Car">
    <w:name w:val="Titre 9 Car"/>
    <w:basedOn w:val="Policepardfaut"/>
    <w:link w:val="Titre9"/>
    <w:rsid w:val="00885DC0"/>
    <w:rPr>
      <w:rFonts w:ascii="Arial" w:eastAsia="Times New Roman" w:hAnsi="Arial" w:cs="Times New Roman"/>
      <w:i/>
      <w:sz w:val="18"/>
      <w:szCs w:val="20"/>
      <w:lang w:eastAsia="fr-FR"/>
    </w:rPr>
  </w:style>
  <w:style w:type="paragraph" w:customStyle="1" w:styleId="Parag1">
    <w:name w:val="Parag1"/>
    <w:basedOn w:val="Normal"/>
    <w:rsid w:val="00885DC0"/>
  </w:style>
  <w:style w:type="character" w:customStyle="1" w:styleId="Parag1Car">
    <w:name w:val="Parag1 Car"/>
    <w:basedOn w:val="Policepardfaut"/>
    <w:rsid w:val="00885DC0"/>
    <w:rPr>
      <w:rFonts w:ascii="Arial" w:hAnsi="Arial"/>
      <w:noProof w:val="0"/>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2050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dc:creator>
  <cp:lastModifiedBy>MALEK</cp:lastModifiedBy>
  <cp:revision>2</cp:revision>
  <dcterms:created xsi:type="dcterms:W3CDTF">2021-04-15T18:53:00Z</dcterms:created>
  <dcterms:modified xsi:type="dcterms:W3CDTF">2021-04-15T18:53:00Z</dcterms:modified>
</cp:coreProperties>
</file>