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  <w:jc w:val="left"/>
      </w:pPr>
      <w:r>
        <w:rPr>
          <w:rFonts w:ascii="Times New Roman" w:cs="Times New Roman" w:eastAsia="Times New Roman" w:hAnsi="Times New Roman"/>
          <w:b/>
          <w:bCs/>
          <w:color w:val="1A6FA8"/>
          <w:sz w:val="20"/>
          <w:szCs w:val="20"/>
        </w:rPr>
        <w:t>ELMİ CV</w:t>
      </w:r>
    </w:p>
    <w:p>
      <w:pPr>
        <w:spacing w:after="40"/>
      </w:pPr>
      <w:r>
        <w:rPr>
          <w:rFonts w:ascii="Times New Roman" w:cs="Times New Roman" w:eastAsia="Times New Roman" w:hAnsi="Times New Roman"/>
          <w:b/>
          <w:bCs/>
          <w:sz w:val="40"/>
          <w:szCs w:val="40"/>
        </w:rPr>
        <w:t>Teymur Rzayev, PhD</w:t>
      </w:r>
    </w:p>
    <w:p>
      <w:pPr>
        <w:spacing w:after="40"/>
      </w:pPr>
      <w:r>
        <w:rPr>
          <w:rFonts w:ascii="Times New Roman" w:cs="Times New Roman" w:eastAsia="Times New Roman" w:hAnsi="Times New Roman"/>
          <w:color w:val="1A6FA8"/>
          <w:sz w:val="24"/>
          <w:szCs w:val="24"/>
        </w:rPr>
        <w:t>Professor</w:t>
      </w:r>
    </w:p>
    <w:p>
      <w:pPr>
        <w:spacing w:after="160"/>
      </w:pPr>
      <w:r>
        <w:rPr>
          <w:rFonts w:ascii="Times New Roman" w:cs="Times New Roman" w:eastAsia="Times New Roman" w:hAnsi="Times New Roman"/>
          <w:sz w:val="22"/>
          <w:szCs w:val="22"/>
        </w:rPr>
        <w:t>Plastik sənətlər bölməsi, Yeditepe Universiteti, İstanbul, Türkiyə</w:t>
      </w:r>
    </w:p>
    <w:p>
      <w:pPr>
        <w:pStyle w:val="Heading1"/>
        <w:keepNext/>
        <w:pBdr>
          <w:bottom w:val="single" w:color="1A6FA8" w:sz="8" w:space="2"/>
        </w:pBdr>
        <w:spacing w:after="120" w:before="280"/>
        <w:keepLines/>
      </w:pPr>
      <w:r>
        <w:rPr>
          <w:rFonts w:ascii="Times New Roman" w:cs="Times New Roman" w:eastAsia="Times New Roman" w:hAnsi="Times New Roman"/>
          <w:b/>
          <w:bCs/>
          <w:color w:val="1A6FA8"/>
          <w:sz w:val="26"/>
          <w:szCs w:val="26"/>
        </w:rPr>
        <w:t>Əlaqə məlumatları və identifikatorlar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6938"/>
      </w:tblGrid>
      <w:tr>
        <w:trPr>
          <w:cantSplit/>
        </w:trPr>
        <w:tc>
          <w:tcPr>
            <w:tcW w:type="dxa" w:w="27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fill="D0EE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>Tam ad (nəşrlərdə yazıldığı kimi)</w:t>
            </w:r>
          </w:p>
        </w:tc>
        <w:tc>
          <w:tcPr>
            <w:tcW w:type="dxa" w:w="6938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Teymur Rzayev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fill="D0EE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>Azərbaycan dilində ad</w:t>
            </w:r>
          </w:p>
        </w:tc>
        <w:tc>
          <w:tcPr>
            <w:tcW w:type="dxa" w:w="6938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Teymur Rzayev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fill="D0EE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>Yaşadığı ölkə</w:t>
            </w:r>
          </w:p>
        </w:tc>
        <w:tc>
          <w:tcPr>
            <w:tcW w:type="dxa" w:w="6938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Türkiyə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fill="D0EE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>Elm sahəsi</w:t>
            </w:r>
          </w:p>
        </w:tc>
        <w:tc>
          <w:tcPr>
            <w:tcW w:type="dxa" w:w="6938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Rəssamlıq; heykəltəraşlıq</w:t>
            </w:r>
          </w:p>
        </w:tc>
      </w:tr>
    </w:tbl>
    <w:p>
      <w:pPr>
        <w:pStyle w:val="Heading1"/>
        <w:keepNext/>
        <w:pBdr>
          <w:bottom w:val="single" w:color="1A6FA8" w:sz="8" w:space="2"/>
        </w:pBdr>
        <w:spacing w:after="120" w:before="280"/>
        <w:keepLines/>
      </w:pPr>
      <w:r>
        <w:rPr>
          <w:rFonts w:ascii="Times New Roman" w:cs="Times New Roman" w:eastAsia="Times New Roman" w:hAnsi="Times New Roman"/>
          <w:b/>
          <w:bCs/>
          <w:color w:val="1A6FA8"/>
          <w:sz w:val="26"/>
          <w:szCs w:val="26"/>
        </w:rPr>
        <w:t>Profil xülasəsi</w:t>
      </w:r>
    </w:p>
    <w:p>
      <w:r>
        <w:rPr>
          <w:rFonts w:ascii="Times New Roman" w:cs="Times New Roman" w:eastAsia="Times New Roman" w:hAnsi="Times New Roman"/>
          <w:sz w:val="21"/>
          <w:szCs w:val="21"/>
        </w:rPr>
        <w:t>Teymur Rzayev Yeditepe Universitetinin Plastik sənətlər bölməsində professordur. Doktorluğu Azərbaycan Dövlət Rəssamlıq Akademiyasındandır. Dissertasiya Azərbaycanın bütpərəst heykəli adlanır və 2009-cu ilə aiddir. Elmi rəhbər Telman İbrahimovdur. Smena adlı magistr dissertasiyasını 1988-ci ildə Azərbaycan Dövlət Rəssamlıq Akademiyasında Mikayıl Abdullayevin rəhbərliyi ilə bitirib. 2006-cı ildən Yeditepe Universitetində dərs deyir. 2012-ci ilədək müəllim, 2012–2014-cü illərdə doktor müəllim olub. Dosent və professor rütbələri də var.</w:t>
      </w:r>
    </w:p>
    <w:p>
      <w:pPr>
        <w:pStyle w:val="Heading1"/>
        <w:keepNext/>
        <w:pBdr>
          <w:bottom w:val="single" w:color="1A6FA8" w:sz="8" w:space="2"/>
        </w:pBdr>
        <w:spacing w:after="120" w:before="280"/>
        <w:keepLines/>
      </w:pPr>
      <w:r>
        <w:rPr>
          <w:rFonts w:ascii="Times New Roman" w:cs="Times New Roman" w:eastAsia="Times New Roman" w:hAnsi="Times New Roman"/>
          <w:b/>
          <w:bCs/>
          <w:color w:val="1A6FA8"/>
          <w:sz w:val="26"/>
          <w:szCs w:val="26"/>
        </w:rPr>
        <w:t>Təhsil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1500"/>
        <w:gridCol w:w="3438"/>
        <w:gridCol w:w="3400"/>
      </w:tblGrid>
      <w:tr>
        <w:trPr>
          <w:cantSplit/>
          <w:tblHeader/>
        </w:trPr>
        <w:tc>
          <w:tcPr>
            <w:tcW w:type="dxa" w:w="13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fill="1A6FA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1"/>
                <w:szCs w:val="21"/>
              </w:rPr>
              <w:t xml:space="preserve">İllər</w:t>
            </w:r>
          </w:p>
        </w:tc>
        <w:tc>
          <w:tcPr>
            <w:tcW w:type="dxa" w:w="15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fill="1A6FA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1"/>
                <w:szCs w:val="21"/>
              </w:rPr>
              <w:t xml:space="preserve">Dərəcə</w:t>
            </w:r>
          </w:p>
        </w:tc>
        <w:tc>
          <w:tcPr>
            <w:tcW w:type="dxa" w:w="3438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fill="1A6FA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1"/>
                <w:szCs w:val="21"/>
              </w:rPr>
              <w:t xml:space="preserve">Sahə / dissertasiya mövzusu</w:t>
            </w:r>
          </w:p>
        </w:tc>
        <w:tc>
          <w:tcPr>
            <w:tcW w:type="dxa" w:w="34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fill="1A6FA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1"/>
                <w:szCs w:val="21"/>
              </w:rPr>
              <w:t xml:space="preserve">Təhsil müəssisəsi, şəhər, ölkə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2009</w:t>
            </w:r>
          </w:p>
        </w:tc>
        <w:tc>
          <w:tcPr>
            <w:tcW w:type="dxa" w:w="15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PhD</w:t>
            </w:r>
          </w:p>
        </w:tc>
        <w:tc>
          <w:tcPr>
            <w:tcW w:type="dxa" w:w="3438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Rəssamlıq. Dissertasiya: Azərbaycanın bütpərəst heykəli. Elmi rəhbər: Telman İbrahimov</w:t>
            </w:r>
          </w:p>
        </w:tc>
        <w:tc>
          <w:tcPr>
            <w:tcW w:type="dxa" w:w="34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Azərbaycan Dövlət Rəssamlıq Akademiyası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1988</w:t>
            </w:r>
          </w:p>
        </w:tc>
        <w:tc>
          <w:tcPr>
            <w:tcW w:type="dxa" w:w="15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Magistr dərəcəsi</w:t>
            </w:r>
          </w:p>
        </w:tc>
        <w:tc>
          <w:tcPr>
            <w:tcW w:type="dxa" w:w="3438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Rəssamlıq. Dissertasiya: Smena. Elmi rəhbər: Mikayıl Abdullayev</w:t>
            </w:r>
          </w:p>
        </w:tc>
        <w:tc>
          <w:tcPr>
            <w:tcW w:type="dxa" w:w="34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Azərbaycan Dövlət Rəssamlıq Akademiyası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  <w:tc>
          <w:tcPr>
            <w:tcW w:type="dxa" w:w="15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Bakalavr dərəcəsi</w:t>
            </w:r>
          </w:p>
        </w:tc>
        <w:tc>
          <w:tcPr>
            <w:tcW w:type="dxa" w:w="3438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Rəssamlıq. İl verilmir</w:t>
            </w:r>
          </w:p>
        </w:tc>
        <w:tc>
          <w:tcPr>
            <w:tcW w:type="dxa" w:w="34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Azərbaycan Dövlət Rəssamlıq Akademiyası</w:t>
            </w:r>
          </w:p>
        </w:tc>
      </w:tr>
    </w:tbl>
    <w:p>
      <w:pPr>
        <w:pStyle w:val="Heading1"/>
        <w:keepNext/>
        <w:pBdr>
          <w:bottom w:val="single" w:color="1A6FA8" w:sz="8" w:space="2"/>
        </w:pBdr>
        <w:spacing w:after="120" w:before="280"/>
        <w:keepLines/>
      </w:pPr>
      <w:r>
        <w:rPr>
          <w:rFonts w:ascii="Times New Roman" w:cs="Times New Roman" w:eastAsia="Times New Roman" w:hAnsi="Times New Roman"/>
          <w:b/>
          <w:bCs/>
          <w:color w:val="1A6FA8"/>
          <w:sz w:val="26"/>
          <w:szCs w:val="26"/>
        </w:rPr>
        <w:t>Elmi və peşəkar vəzifələr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2400"/>
        <w:gridCol w:w="2538"/>
        <w:gridCol w:w="3400"/>
      </w:tblGrid>
      <w:tr>
        <w:trPr>
          <w:cantSplit/>
          <w:tblHeader/>
        </w:trPr>
        <w:tc>
          <w:tcPr>
            <w:tcW w:type="dxa" w:w="13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fill="1A6FA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1"/>
                <w:szCs w:val="21"/>
              </w:rPr>
              <w:t xml:space="preserve">İllər</w:t>
            </w:r>
          </w:p>
        </w:tc>
        <w:tc>
          <w:tcPr>
            <w:tcW w:type="dxa" w:w="24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fill="1A6FA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1"/>
                <w:szCs w:val="21"/>
              </w:rPr>
              <w:t xml:space="preserve">Vəzifə</w:t>
            </w:r>
          </w:p>
        </w:tc>
        <w:tc>
          <w:tcPr>
            <w:tcW w:type="dxa" w:w="2538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fill="1A6FA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1"/>
                <w:szCs w:val="21"/>
              </w:rPr>
              <w:t xml:space="preserve">Kafedra / bölmə</w:t>
            </w:r>
          </w:p>
        </w:tc>
        <w:tc>
          <w:tcPr>
            <w:tcW w:type="dxa" w:w="34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fill="1A6FA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1"/>
                <w:szCs w:val="21"/>
              </w:rPr>
              <w:t xml:space="preserve">Təşkilat, şəhər, ölkə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  <w:tc>
          <w:tcPr>
            <w:tcW w:type="dxa" w:w="24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Professor</w:t>
            </w:r>
          </w:p>
        </w:tc>
        <w:tc>
          <w:tcPr>
            <w:tcW w:type="dxa" w:w="2538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  <w:tc>
          <w:tcPr>
            <w:tcW w:type="dxa" w:w="34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Yeditepe Universiteti, İstanbul, Türkiyə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  <w:tc>
          <w:tcPr>
            <w:tcW w:type="dxa" w:w="24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Dosent</w:t>
            </w:r>
          </w:p>
        </w:tc>
        <w:tc>
          <w:tcPr>
            <w:tcW w:type="dxa" w:w="2538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  <w:tc>
          <w:tcPr>
            <w:tcW w:type="dxa" w:w="34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Yeditepe University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2012–2014</w:t>
            </w:r>
          </w:p>
        </w:tc>
        <w:tc>
          <w:tcPr>
            <w:tcW w:type="dxa" w:w="24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Doktor müəllim</w:t>
            </w:r>
          </w:p>
        </w:tc>
        <w:tc>
          <w:tcPr>
            <w:tcW w:type="dxa" w:w="2538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  <w:tc>
          <w:tcPr>
            <w:tcW w:type="dxa" w:w="34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Yeditepe University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2006–2012</w:t>
            </w:r>
          </w:p>
        </w:tc>
        <w:tc>
          <w:tcPr>
            <w:tcW w:type="dxa" w:w="24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Müəllim</w:t>
            </w:r>
          </w:p>
        </w:tc>
        <w:tc>
          <w:tcPr>
            <w:tcW w:type="dxa" w:w="2538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  <w:tc>
          <w:tcPr>
            <w:tcW w:type="dxa" w:w="34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Yeditepe University</w:t>
            </w:r>
          </w:p>
        </w:tc>
      </w:tr>
    </w:tbl>
    <w:p>
      <w:pPr>
        <w:pStyle w:val="Heading1"/>
        <w:keepNext/>
        <w:pBdr>
          <w:bottom w:val="single" w:color="1A6FA8" w:sz="8" w:space="2"/>
        </w:pBdr>
        <w:spacing w:after="120" w:before="280"/>
        <w:keepLines/>
      </w:pPr>
      <w:r>
        <w:rPr>
          <w:rFonts w:ascii="Times New Roman" w:cs="Times New Roman" w:eastAsia="Times New Roman" w:hAnsi="Times New Roman"/>
          <w:b/>
          <w:bCs/>
          <w:color w:val="1A6FA8"/>
          <w:sz w:val="26"/>
          <w:szCs w:val="26"/>
        </w:rPr>
        <w:t>Nəşrlər</w:t>
      </w:r>
    </w:p>
    <w:p>
      <w:pPr>
        <w:pStyle w:val="Heading2"/>
        <w:keepNext/>
        <w:spacing w:after="60" w:before="160"/>
        <w:keepLines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>Kitablar və dərsliklər</w:t>
      </w:r>
    </w:p>
    <w:p>
      <w:pPr>
        <w:spacing w:after="80"/>
      </w:pPr>
      <w:r>
        <w:rPr>
          <w:rFonts w:ascii="Times New Roman" w:cs="Times New Roman" w:eastAsia="Times New Roman" w:hAnsi="Times New Roman"/>
          <w:sz w:val="21"/>
          <w:szCs w:val="21"/>
        </w:rPr>
        <w:t>1. C. Yazılan ulusal/uluslararası kitaplar veya kitaplardaki bölümler: C1. Yazılan ulusal/uluslararası kitaplar: BİZ AZERBAYCANLIYIQ Biz Azerbaycanlıyız (2011)., RZAYEV TEYMUR, Adventa, Editör:Teymur Rzayev, ISBN:978-9952-8110-5-0, Türkçe(Bilimsel Kitap),</w:t>
      </w:r>
      <w:r>
        <w:rPr>
          <w:rFonts w:ascii="Times New Roman" w:cs="Times New Roman" w:eastAsia="Times New Roman" w:hAnsi="Times New Roman"/>
          <w:b/>
          <w:bCs/>
          <w:sz w:val="21"/>
          <w:szCs w:val="21"/>
        </w:rPr>
      </w:r>
      <w:r>
        <w:rPr>
          <w:rFonts w:ascii="Times New Roman" w:cs="Times New Roman" w:eastAsia="Times New Roman" w:hAnsi="Times New Roman"/>
          <w:sz w:val="21"/>
          <w:szCs w:val="21"/>
        </w:rPr>
      </w:r>
      <w:r>
        <w:rPr>
          <w:rFonts w:ascii="Times New Roman" w:cs="Times New Roman" w:eastAsia="Times New Roman" w:hAnsi="Times New Roman"/>
          <w:b/>
          <w:bCs/>
          <w:sz w:val="21"/>
          <w:szCs w:val="21"/>
        </w:rPr>
      </w:r>
      <w:r>
        <w:rPr>
          <w:rFonts w:ascii="Times New Roman" w:cs="Times New Roman" w:eastAsia="Times New Roman" w:hAnsi="Times New Roman"/>
          <w:sz w:val="21"/>
          <w:szCs w:val="21"/>
        </w:rPr>
      </w:r>
      <w:r>
        <w:rPr>
          <w:rFonts w:ascii="Times New Roman" w:cs="Times New Roman" w:eastAsia="Times New Roman" w:hAnsi="Times New Roman"/>
          <w:b/>
          <w:bCs/>
          <w:sz w:val="21"/>
          <w:szCs w:val="21"/>
        </w:rPr>
      </w:r>
      <w:r>
        <w:rPr>
          <w:rFonts w:ascii="Times New Roman" w:cs="Times New Roman" w:eastAsia="Times New Roman" w:hAnsi="Times New Roman"/>
          <w:sz w:val="21"/>
          <w:szCs w:val="21"/>
        </w:rPr>
      </w:r>
    </w:p>
    <w:p>
      <w:pPr>
        <w:pStyle w:val="Heading2"/>
        <w:keepNext/>
        <w:spacing w:after="60" w:before="160"/>
        <w:keepLines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>Rəylənmiş (peer-reviewed) jurnal məqalələri</w:t>
      </w:r>
    </w:p>
    <w:p>
      <w:pPr>
        <w:spacing w:after="80"/>
      </w:pPr>
      <w:r>
        <w:rPr>
          <w:rFonts w:ascii="Times New Roman" w:cs="Times New Roman" w:eastAsia="Times New Roman" w:hAnsi="Times New Roman"/>
          <w:sz w:val="21"/>
          <w:szCs w:val="21"/>
        </w:rPr>
        <w:t>1. iniature Painting in Medieval Book Art. International Scientific-Theoretical Journal - Baku Academy of Choreography</w:t>
      </w:r>
    </w:p>
    <w:p>
      <w:pPr>
        <w:spacing w:after="80"/>
      </w:pPr>
      <w:r>
        <w:rPr>
          <w:rFonts w:ascii="Times New Roman" w:cs="Times New Roman" w:eastAsia="Times New Roman" w:hAnsi="Times New Roman"/>
          <w:sz w:val="21"/>
          <w:szCs w:val="21"/>
        </w:rPr>
        <w:t>2. RZAYEV TEYMUR (2019). Azerbaycan’da kabartma sanatı. Arayışlar, 10(2), 194-197.</w:t>
      </w:r>
      <w:r>
        <w:rPr>
          <w:rFonts w:ascii="Times New Roman" w:cs="Times New Roman" w:eastAsia="Times New Roman" w:hAnsi="Times New Roman"/>
          <w:b/>
          <w:bCs/>
          <w:sz w:val="21"/>
          <w:szCs w:val="21"/>
        </w:rPr>
      </w:r>
      <w:r>
        <w:rPr>
          <w:rFonts w:ascii="Times New Roman" w:cs="Times New Roman" w:eastAsia="Times New Roman" w:hAnsi="Times New Roman"/>
          <w:sz w:val="21"/>
          <w:szCs w:val="21"/>
        </w:rPr>
      </w:r>
    </w:p>
    <w:p>
      <w:pPr>
        <w:spacing w:after="80"/>
      </w:pPr>
      <w:r>
        <w:rPr>
          <w:rFonts w:ascii="Times New Roman" w:cs="Times New Roman" w:eastAsia="Times New Roman" w:hAnsi="Times New Roman"/>
          <w:sz w:val="21"/>
          <w:szCs w:val="21"/>
        </w:rPr>
        <w:t>3. RZAYEV TEYMUR (2018). ”XX. yüzyıl Azerbaycan Tasviri Sanatında Sembolik ve Mecazi Anlamda Karakterleri”. Araştırmalar, 8(4 (30))</w:t>
      </w:r>
      <w:r>
        <w:rPr>
          <w:rFonts w:ascii="Times New Roman" w:cs="Times New Roman" w:eastAsia="Times New Roman" w:hAnsi="Times New Roman"/>
          <w:b/>
          <w:bCs/>
          <w:sz w:val="21"/>
          <w:szCs w:val="21"/>
        </w:rPr>
      </w:r>
      <w:r>
        <w:rPr>
          <w:rFonts w:ascii="Times New Roman" w:cs="Times New Roman" w:eastAsia="Times New Roman" w:hAnsi="Times New Roman"/>
          <w:sz w:val="21"/>
          <w:szCs w:val="21"/>
        </w:rPr>
      </w:r>
    </w:p>
    <w:p>
      <w:pPr>
        <w:spacing w:after="80"/>
      </w:pPr>
      <w:r>
        <w:rPr>
          <w:rFonts w:ascii="Times New Roman" w:cs="Times New Roman" w:eastAsia="Times New Roman" w:hAnsi="Times New Roman"/>
          <w:sz w:val="21"/>
          <w:szCs w:val="21"/>
        </w:rPr>
        <w:t>4. RZAYEV TEYMUR (2018). XVII-XIX. yüzyıllarda Azerbaycan’da hattat sanatı. Hümaniter İlimler Serisi(2)</w:t>
      </w:r>
      <w:r>
        <w:rPr>
          <w:rFonts w:ascii="Times New Roman" w:cs="Times New Roman" w:eastAsia="Times New Roman" w:hAnsi="Times New Roman"/>
          <w:b/>
          <w:bCs/>
          <w:sz w:val="21"/>
          <w:szCs w:val="21"/>
        </w:rPr>
      </w:r>
      <w:r>
        <w:rPr>
          <w:rFonts w:ascii="Times New Roman" w:cs="Times New Roman" w:eastAsia="Times New Roman" w:hAnsi="Times New Roman"/>
          <w:sz w:val="21"/>
          <w:szCs w:val="21"/>
        </w:rPr>
      </w:r>
    </w:p>
    <w:p>
      <w:pPr>
        <w:spacing w:after="80"/>
      </w:pPr>
      <w:r>
        <w:rPr>
          <w:rFonts w:ascii="Times New Roman" w:cs="Times New Roman" w:eastAsia="Times New Roman" w:hAnsi="Times New Roman"/>
          <w:sz w:val="21"/>
          <w:szCs w:val="21"/>
        </w:rPr>
        <w:t>5. RZAYEV TEYMUR (2012). 20 nci yüzyılın sonlarında Azerbaycan da Resim Sanatı. Elmi Eserler (İlmi Eserler)(13), 150-154.</w:t>
      </w:r>
      <w:r>
        <w:rPr>
          <w:rFonts w:ascii="Times New Roman" w:cs="Times New Roman" w:eastAsia="Times New Roman" w:hAnsi="Times New Roman"/>
          <w:b/>
          <w:bCs/>
          <w:sz w:val="21"/>
          <w:szCs w:val="21"/>
        </w:rPr>
      </w:r>
      <w:r>
        <w:rPr>
          <w:rFonts w:ascii="Times New Roman" w:cs="Times New Roman" w:eastAsia="Times New Roman" w:hAnsi="Times New Roman"/>
          <w:sz w:val="21"/>
          <w:szCs w:val="21"/>
        </w:rPr>
      </w:r>
    </w:p>
    <w:p>
      <w:pPr>
        <w:spacing w:after="80"/>
      </w:pPr>
      <w:r>
        <w:rPr>
          <w:rFonts w:ascii="Times New Roman" w:cs="Times New Roman" w:eastAsia="Times New Roman" w:hAnsi="Times New Roman"/>
          <w:sz w:val="21"/>
          <w:szCs w:val="21"/>
        </w:rPr>
        <w:t>6. RZAYEV TEYMUR (2010). Azerbaycan ın kadim heykeltıraşlığı. Medeniyyet Dünyası(10), 95-98.</w:t>
      </w:r>
      <w:r>
        <w:rPr>
          <w:rFonts w:ascii="Times New Roman" w:cs="Times New Roman" w:eastAsia="Times New Roman" w:hAnsi="Times New Roman"/>
          <w:b/>
          <w:bCs/>
          <w:sz w:val="21"/>
          <w:szCs w:val="21"/>
        </w:rPr>
      </w:r>
      <w:r>
        <w:rPr>
          <w:rFonts w:ascii="Times New Roman" w:cs="Times New Roman" w:eastAsia="Times New Roman" w:hAnsi="Times New Roman"/>
          <w:sz w:val="21"/>
          <w:szCs w:val="21"/>
        </w:rPr>
      </w:r>
    </w:p>
    <w:p>
      <w:pPr>
        <w:spacing w:after="80"/>
      </w:pPr>
      <w:r>
        <w:rPr>
          <w:rFonts w:ascii="Times New Roman" w:cs="Times New Roman" w:eastAsia="Times New Roman" w:hAnsi="Times New Roman"/>
          <w:sz w:val="21"/>
          <w:szCs w:val="21"/>
        </w:rPr>
        <w:t>7. RZAYEV TEYMUR (2008). İslam a kadarki Azerbaycan Heykeltıraşlığı. İncesenet ve Medeniyyet Problemleri(3-4(25-26), 192-199.</w:t>
      </w:r>
      <w:r>
        <w:rPr>
          <w:rFonts w:ascii="Times New Roman" w:cs="Times New Roman" w:eastAsia="Times New Roman" w:hAnsi="Times New Roman"/>
          <w:b/>
          <w:bCs/>
          <w:sz w:val="21"/>
          <w:szCs w:val="21"/>
        </w:rPr>
      </w:r>
      <w:r>
        <w:rPr>
          <w:rFonts w:ascii="Times New Roman" w:cs="Times New Roman" w:eastAsia="Times New Roman" w:hAnsi="Times New Roman"/>
          <w:sz w:val="21"/>
          <w:szCs w:val="21"/>
        </w:rPr>
      </w:r>
    </w:p>
    <w:p>
      <w:pPr>
        <w:spacing w:after="80"/>
      </w:pPr>
      <w:r>
        <w:rPr>
          <w:rFonts w:ascii="Times New Roman" w:cs="Times New Roman" w:eastAsia="Times New Roman" w:hAnsi="Times New Roman"/>
          <w:sz w:val="21"/>
          <w:szCs w:val="21"/>
        </w:rPr>
        <w:t>8. RZAYEV TEYMUR (2006). Totemistik ibadetler ve onların putperest heykeltıraşlığında tecessümü. İncesenet ve Medeniyyetin Problemleri (16), 105-109.</w:t>
      </w:r>
      <w:r>
        <w:rPr>
          <w:rFonts w:ascii="Times New Roman" w:cs="Times New Roman" w:eastAsia="Times New Roman" w:hAnsi="Times New Roman"/>
          <w:b/>
          <w:bCs/>
          <w:sz w:val="21"/>
          <w:szCs w:val="21"/>
        </w:rPr>
      </w:r>
      <w:r>
        <w:rPr>
          <w:rFonts w:ascii="Times New Roman" w:cs="Times New Roman" w:eastAsia="Times New Roman" w:hAnsi="Times New Roman"/>
          <w:sz w:val="21"/>
          <w:szCs w:val="21"/>
        </w:rPr>
      </w:r>
    </w:p>
    <w:p>
      <w:pPr>
        <w:spacing w:after="80"/>
      </w:pPr>
      <w:r>
        <w:rPr>
          <w:rFonts w:ascii="Times New Roman" w:cs="Times New Roman" w:eastAsia="Times New Roman" w:hAnsi="Times New Roman"/>
          <w:sz w:val="21"/>
          <w:szCs w:val="21"/>
        </w:rPr>
        <w:t>9. RZAYEV TEYMUR (2006). İslam öncesi Dekoratif Sembolik Heykeller Dönemi. Elmi Haberler (İlmi Haberler)(7), 235-237.</w:t>
      </w:r>
      <w:r>
        <w:rPr>
          <w:rFonts w:ascii="Times New Roman" w:cs="Times New Roman" w:eastAsia="Times New Roman" w:hAnsi="Times New Roman"/>
          <w:b/>
          <w:bCs/>
          <w:sz w:val="21"/>
          <w:szCs w:val="21"/>
        </w:rPr>
      </w:r>
      <w:r>
        <w:rPr>
          <w:rFonts w:ascii="Times New Roman" w:cs="Times New Roman" w:eastAsia="Times New Roman" w:hAnsi="Times New Roman"/>
          <w:sz w:val="21"/>
          <w:szCs w:val="21"/>
        </w:rPr>
      </w:r>
    </w:p>
    <w:p>
      <w:pPr>
        <w:spacing w:after="80"/>
      </w:pPr>
      <w:r>
        <w:rPr>
          <w:rFonts w:ascii="Times New Roman" w:cs="Times New Roman" w:eastAsia="Times New Roman" w:hAnsi="Times New Roman"/>
          <w:sz w:val="21"/>
          <w:szCs w:val="21"/>
        </w:rPr>
        <w:t>10. RZAYEV TEYMUR Demokrasi Çizgisi. Demokrasi Şöleni, 176-178. (/)</w:t>
      </w:r>
      <w:r>
        <w:rPr>
          <w:rFonts w:ascii="Times New Roman" w:cs="Times New Roman" w:eastAsia="Times New Roman" w:hAnsi="Times New Roman"/>
          <w:b/>
          <w:bCs/>
          <w:sz w:val="21"/>
          <w:szCs w:val="21"/>
        </w:rPr>
      </w:r>
      <w:r>
        <w:rPr>
          <w:rFonts w:ascii="Times New Roman" w:cs="Times New Roman" w:eastAsia="Times New Roman" w:hAnsi="Times New Roman"/>
          <w:sz w:val="21"/>
          <w:szCs w:val="21"/>
        </w:rPr>
      </w:r>
    </w:p>
    <w:p>
      <w:pPr>
        <w:pStyle w:val="Heading2"/>
        <w:keepNext/>
        <w:spacing w:after="60" w:before="160"/>
        <w:keepLines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>Konfrans məqalələri və tezisləri</w:t>
      </w:r>
    </w:p>
    <w:p>
      <w:pPr>
        <w:spacing w:after="80"/>
      </w:pPr>
      <w:r>
        <w:rPr>
          <w:rFonts w:ascii="Times New Roman" w:cs="Times New Roman" w:eastAsia="Times New Roman" w:hAnsi="Times New Roman"/>
          <w:sz w:val="21"/>
          <w:szCs w:val="21"/>
        </w:rPr>
        <w:t>1. B. Uluslararası bilimsel toplantılarda sunulan ve bildiri kitaplarında (proceedings) basılan bildiriler: RZAYEV TEYMUR Geçmişten Gelenekten Günümüze Görsel İletişim Tasarımı. İLETİŞİMDE TASARIM - TASARIMDA İLETİŞİM (/)</w:t>
      </w:r>
      <w:r>
        <w:rPr>
          <w:rFonts w:ascii="Times New Roman" w:cs="Times New Roman" w:eastAsia="Times New Roman" w:hAnsi="Times New Roman"/>
          <w:b/>
          <w:bCs/>
          <w:sz w:val="21"/>
          <w:szCs w:val="21"/>
        </w:rPr>
      </w:r>
      <w:r>
        <w:rPr>
          <w:rFonts w:ascii="Times New Roman" w:cs="Times New Roman" w:eastAsia="Times New Roman" w:hAnsi="Times New Roman"/>
          <w:sz w:val="21"/>
          <w:szCs w:val="21"/>
        </w:rPr>
      </w:r>
    </w:p>
    <w:p>
      <w:pPr>
        <w:spacing w:after="80"/>
      </w:pPr>
      <w:r>
        <w:rPr>
          <w:rFonts w:ascii="Times New Roman" w:cs="Times New Roman" w:eastAsia="Times New Roman" w:hAnsi="Times New Roman"/>
          <w:sz w:val="21"/>
          <w:szCs w:val="21"/>
        </w:rPr>
        <w:t>2. Birliği’nin II.Forumu (Tam Metin Bildiri/Davetli Konuşmacı)</w:t>
      </w:r>
    </w:p>
    <w:sectPr>
      <w:headerReference w:type="default" r:id="rId7"/>
      <w:footerReference w:type="default" r:id="rId8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Times New Roman" w:cs="Times New Roman" w:eastAsia="Times New Roman" w:hAnsi="Times New Roman"/>
        <w:color w:val="7A7A7A"/>
        <w:sz w:val="18"/>
        <w:szCs w:val="18"/>
      </w:rPr>
      <w:t xml:space="preserve">Səhifə </w:t>
    </w:r>
    <w:r>
      <w:rPr>
        <w:rFonts w:ascii="Times New Roman" w:cs="Times New Roman" w:eastAsia="Times New Roman" w:hAnsi="Times New Roman"/>
        <w:color w:val="7A7A7A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Times New Roman" w:cs="Times New Roman" w:eastAsia="Times New Roman" w:hAnsi="Times New Roman"/>
        <w:color w:val="7A7A7A"/>
        <w:sz w:val="18"/>
        <w:szCs w:val="18"/>
      </w:rPr>
      <w:t xml:space="preserve"> / </w:t>
    </w:r>
    <w:r>
      <w:rPr>
        <w:rFonts w:ascii="Times New Roman" w:cs="Times New Roman" w:eastAsia="Times New Roman" w:hAnsi="Times New Roman"/>
        <w:color w:val="7A7A7A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Times New Roman" w:cs="Times New Roman" w:eastAsia="Times New Roman" w:hAnsi="Times New Roman"/>
        <w:color w:val="7A7A7A"/>
        <w:sz w:val="18"/>
        <w:szCs w:val="18"/>
      </w:rPr>
      <w:t>Rzayev, Teymur – Elmi CV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outlineLvl w:val="0"/>
    </w:pPr>
    <w:rPr>
      <w:rFonts w:ascii="Times New Roman" w:cs="Times New Roman" w:eastAsia="Times New Roman" w:hAnsi="Times New Roman"/>
      <w:b/>
      <w:bCs/>
      <w:color w:val="1A6FA8"/>
      <w:sz w:val="26"/>
      <w:szCs w:val="26"/>
    </w:rPr>
  </w:style>
  <w:style w:type="paragraph" w:styleId="Heading2">
    <w:name w:val="Heading 2"/>
    <w:basedOn w:val="Normal"/>
    <w:next w:val="Normal"/>
    <w:qFormat/>
    <w:pPr>
      <w:outlineLvl w:val="1"/>
    </w:pPr>
    <w:rPr>
      <w:rFonts w:ascii="Times New Roman" w:cs="Times New Roman" w:eastAsia="Times New Roman" w:hAnsi="Times New Roman"/>
      <w:b/>
      <w:bCs/>
      <w:sz w:val="22"/>
      <w:szCs w:val="22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Elmi CV şablonu</dc:title>
  <dc:creator>DAAB/WAAS</dc:creator>
  <cp:lastModifiedBy>Un-named</cp:lastModifiedBy>
  <cp:revision>1</cp:revision>
  <dcterms:created xsi:type="dcterms:W3CDTF">2026-10-10T07:25:17.882Z</dcterms:created>
  <dcterms:modified xsi:type="dcterms:W3CDTF">2026-10-10T07:25:17.882Z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