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Mehmet Riza Heyet, PhD</w:t>
      </w:r>
    </w:p>
    <w:p>
      <w:pPr>
        <w:spacing w:after="40"/>
      </w:pPr>
      <w:r>
        <w:rPr>
          <w:rFonts w:ascii="Times New Roman" w:cs="Times New Roman" w:eastAsia="Times New Roman" w:hAnsi="Times New Roman"/>
          <w:color w:val="1A6FA8"/>
          <w:sz w:val="24"/>
          <w:szCs w:val="24"/>
        </w:rPr>
        <w:t>Instructor; editor-in-chief of Varliq</w:t>
      </w:r>
    </w:p>
    <w:p>
      <w:pPr>
        <w:spacing w:after="160"/>
      </w:pPr>
      <w:r>
        <w:rPr>
          <w:rFonts w:ascii="Times New Roman" w:cs="Times New Roman" w:eastAsia="Times New Roman" w:hAnsi="Times New Roman"/>
          <w:sz w:val="22"/>
          <w:szCs w:val="22"/>
        </w:rPr>
        <w:t>Department of Contemporary Turkic Dialects and Literatures, Faculty of Languages, History and Geography, Ankara University, Ankara, Turkey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Mehmet Riza Heyet</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Mehmet Rıza Heyət</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Turkey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Turkic dialects and literatures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Mehmet Riza Heyet teaches in the Department of Contemporary Turkic Dialects and Literatures at Ankara University, a post dated from 2013. He has been the concession holder and editor-in-chief of the journal Varliq since 2015 and head of the Tabriz Research Institute (TEBAREN) since 2016. He received a doctorate at Ankara University in 2021 on Mirza Mehdi Khan Astarabadi’s Sanglakh, and a master’s degree there in 2005. His bachelor’s studies in Azerbaijani language and literature were at N. Tusi Pedagogical University in 1993–1995 and Baku State University in 1995–1998. Published selected books, articles, and talks on Iranian Turkic press, language, and identity.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Contemporary Turkic dialects and literatures. Thesis: Mirzə Mehdi Xan Əstərabadinin Sənglax əsəri: Məbaniyül-lüğət və Kitabül-əlif</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Social Sciences, Ankara University, Ankara,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2005</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Contemporary Turkic dialects and literatures. Thesis: 19-cu əsrdən bu günə İranda türkcə mətbuat və nəşriyyat</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Social Sciences, Ankara University, Ankara,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1993–1998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Bachelor’s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 language and literature. N. Tusi Pedagogical University, 1993–1995; Baku State University, 1995–1998</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1987–1990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Secondary school</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Tabriz</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1984–1987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Middle school</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Tabriz</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1979–1984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Primary school</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Tabriz</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Tabriz Research Institute (TEBAREN)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Concession holder and editor-in-chief</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Varliq journal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Instructor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Contemporary Turkic Dialects and Literatures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Faculty of Languages, History and Geography, Ankara University, Ankara,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2012–2013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Translator and announcer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South Azerbaijan (TRT Türki) desk</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TRT</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2008–2012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Translator and announcer, Persian desk</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TRT</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1995–2014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Editor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Varliq journal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Teacher of Azerbaijani Turkish, part-official</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Tehran and Rajaee University, Tehran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1999–2000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Press translator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Embassy of the Republic of Azerbaijan in Tehran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1993–1995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Executive director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Varliq journal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1991–1993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Military service</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1990–1991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Tabriz Radio Research Center</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1990–1991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Mahdi-Azadi newspaper</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(ed.). Erməni məzaliminin 100-cü ilində tarixi gerçəklər: Güney Azərbaycanda erməni məzalimi. TEBAREN, Ankara, 2018.</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(translator and foreword). Türk dilləri və ləhcələrinin tarixi. 2 volumes. Ministry of Culture and Tourism of the Republic of Azerbaijan, Baku, 2011.</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(ed.). Doktor Cavad Heyətin məqalələr toplusu. 4 volumes. Varliq, Tehran, 2006–2007.</w:t>
      </w:r>
    </w:p>
    <w:p>
      <w:pPr>
        <w:spacing w:after="80"/>
      </w:pPr>
      <w:r>
        <w:rPr>
          <w:rFonts w:ascii="Times New Roman" w:cs="Times New Roman" w:eastAsia="Times New Roman" w:hAnsi="Times New Roman"/>
          <w:sz w:val="21"/>
          <w:szCs w:val="21"/>
        </w:rPr>
        <w:t>4. Atatürk, Qazi Mustafa Kamal. Nitq. Translator: M. R. Heyət. Atatürk Research Center, Ankara, 2004.</w:t>
      </w:r>
    </w:p>
    <w:p>
      <w:pPr>
        <w:spacing w:after="80"/>
      </w:pPr>
      <w:r>
        <w:rPr>
          <w:rFonts w:ascii="Times New Roman" w:cs="Times New Roman" w:eastAsia="Times New Roman" w:hAnsi="Times New Roman"/>
          <w:sz w:val="21"/>
          <w:szCs w:val="21"/>
        </w:rPr>
        <w:t>5. Xəlil, Zeynal. Əsrim, talyim mənim. Selected poems. Editor: M. R. Heyət. Zufa, Tehran, 2000.</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Mirzə Mehdi Xan Əstərabadi və onun Sənglax əsərində dil adlandırmaları üzərinə bir incələmə. Modern Türklük Araştırmaları Dergisi, 2019, vol. XVI, no. 2, pp. 380–389, Ankara.</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İki nəslin dərgisi Varlıq. Türk Yurdu, year 106, no. 354, 2017, Ankara.</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İranda dil məsələsi və anayasanın dəyişdirilməsinin zərurəti. Tribune Zamaneh, 2017. https://www.tribunezamaneh.com/archives/137718.</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Cavad Heyət. In: Azərbaycan Türklərinin öndərləri. Berikan, Ankara, 2017.</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Bilgəliyin çağdaş örnəyi Həmid Nitqi. Varlıq, 2016, no. 4, Ankara.</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Dr. Cavad Heyətin ictimai məsələlər haqqında görüşləri. Varlıq, 2016, nos. 5–6, Ankara.</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Ustad Kərim Məşrutəçi Sönməzdən yeni armağanlar. Varlıq, 2016, nos. 5–6, Ankara.</w:t>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Məşrutiyyət dönəmi türkcə mətbuat və nəşriyyat. Varlıq, winter 2015, no. 3, Ankara.</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Varlıq Dergisi. Türkiye Diyanet Vakfı İslam Ansiklopedisi, vol. 42, pp. 523–524. TDV İslam Araştırmaları Merkezi, Istanbul, 2012.</w:t>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Fereydan ağzı. Modern Türklük Araştırmaları Dergisi, December 2012, vol. 9, no. 4.</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19-cu əsrdə türklərin ictimai-mədəni durumu. Varlıq, 2007, no. 143, Tehran.</w:t>
      </w:r>
    </w:p>
    <w:p>
      <w:pPr>
        <w:spacing w:after="80"/>
      </w:pPr>
      <w:r>
        <w:rPr>
          <w:rFonts w:ascii="Times New Roman" w:cs="Times New Roman" w:eastAsia="Times New Roman" w:hAnsi="Times New Roman"/>
          <w:sz w:val="21"/>
          <w:szCs w:val="21"/>
        </w:rPr>
        <w:t xml:space="preserve">12.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İranda Azərbaycan türkcəsinin standartlaşma prosesi. Varlıq, 2007, no. 145, pp. 27–42, Tehran.</w:t>
      </w:r>
    </w:p>
    <w:p>
      <w:pPr>
        <w:spacing w:after="80"/>
      </w:pPr>
      <w:r>
        <w:rPr>
          <w:rFonts w:ascii="Times New Roman" w:cs="Times New Roman" w:eastAsia="Times New Roman" w:hAnsi="Times New Roman"/>
          <w:sz w:val="21"/>
          <w:szCs w:val="21"/>
        </w:rPr>
        <w:t xml:space="preserve">13.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İran türklərində kimlik məsələsi. Bilig, summer 2004, no. 30, Ankara.</w:t>
      </w:r>
    </w:p>
    <w:p>
      <w:pPr>
        <w:spacing w:after="80"/>
      </w:pPr>
      <w:r>
        <w:rPr>
          <w:rFonts w:ascii="Times New Roman" w:cs="Times New Roman" w:eastAsia="Times New Roman" w:hAnsi="Times New Roman"/>
          <w:sz w:val="21"/>
          <w:szCs w:val="21"/>
        </w:rPr>
        <w:t xml:space="preserve">14.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Türkcənin etimoloji sözlükləri. Varlıq, 2003, no. 128-1, Tehran.</w:t>
      </w:r>
    </w:p>
    <w:p>
      <w:pPr>
        <w:spacing w:after="80"/>
      </w:pPr>
      <w:r>
        <w:rPr>
          <w:rFonts w:ascii="Times New Roman" w:cs="Times New Roman" w:eastAsia="Times New Roman" w:hAnsi="Times New Roman"/>
          <w:sz w:val="21"/>
          <w:szCs w:val="21"/>
        </w:rPr>
        <w:t xml:space="preserve">15.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Güney Azərbaycan türklərinin sosial-mədəni fəaliyyətləri. 2023, 2003, no. 27, Ankara.</w:t>
      </w:r>
    </w:p>
    <w:p>
      <w:pPr>
        <w:spacing w:after="80"/>
      </w:pPr>
      <w:r>
        <w:rPr>
          <w:rFonts w:ascii="Times New Roman" w:cs="Times New Roman" w:eastAsia="Times New Roman" w:hAnsi="Times New Roman"/>
          <w:sz w:val="21"/>
          <w:szCs w:val="21"/>
        </w:rPr>
        <w:t xml:space="preserve">16.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Nizami Gəncəvinin həyatı və əsərləri. Füruği-Azadi, special issue, 2001, Tabriz.</w:t>
      </w:r>
    </w:p>
    <w:p>
      <w:pPr>
        <w:spacing w:after="80"/>
      </w:pPr>
      <w:r>
        <w:rPr>
          <w:rFonts w:ascii="Times New Roman" w:cs="Times New Roman" w:eastAsia="Times New Roman" w:hAnsi="Times New Roman"/>
          <w:sz w:val="21"/>
          <w:szCs w:val="21"/>
        </w:rPr>
        <w:t xml:space="preserve">17.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Cavad Heyətin əsərlərinin biblioqrafiyası. In: Bıçaq və qələm. Təhsil, Baku, 2000.</w:t>
      </w:r>
    </w:p>
    <w:p>
      <w:pPr>
        <w:spacing w:after="80"/>
      </w:pPr>
      <w:r>
        <w:rPr>
          <w:rFonts w:ascii="Times New Roman" w:cs="Times New Roman" w:eastAsia="Times New Roman" w:hAnsi="Times New Roman"/>
          <w:sz w:val="21"/>
          <w:szCs w:val="21"/>
        </w:rPr>
        <w:t xml:space="preserve">18.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Prof. Dr. Həmid Nitqinin Varlıqdakı yaradıcılığı. Varlıq, 1999, nos. 113-2, Tehran.</w:t>
      </w:r>
    </w:p>
    <w:p>
      <w:pPr>
        <w:spacing w:after="80"/>
      </w:pPr>
      <w:r>
        <w:rPr>
          <w:rFonts w:ascii="Times New Roman" w:cs="Times New Roman" w:eastAsia="Times New Roman" w:hAnsi="Times New Roman"/>
          <w:sz w:val="21"/>
          <w:szCs w:val="21"/>
        </w:rPr>
        <w:t xml:space="preserve">19.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Mətbuatda Həmid Nitqi. Varlıq, 1999, nos. 113-2, Tehran.</w:t>
      </w:r>
    </w:p>
    <w:p>
      <w:pPr>
        <w:spacing w:after="80"/>
      </w:pPr>
      <w:r>
        <w:rPr>
          <w:rFonts w:ascii="Times New Roman" w:cs="Times New Roman" w:eastAsia="Times New Roman" w:hAnsi="Times New Roman"/>
          <w:sz w:val="21"/>
          <w:szCs w:val="21"/>
        </w:rPr>
        <w:t xml:space="preserve">20.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Türklərdə Novruz bayramı. Mobin, special issue, 15 March 1998, Tehran.</w:t>
      </w:r>
    </w:p>
    <w:p>
      <w:pPr>
        <w:spacing w:after="80"/>
      </w:pPr>
      <w:r>
        <w:rPr>
          <w:rFonts w:ascii="Times New Roman" w:cs="Times New Roman" w:eastAsia="Times New Roman" w:hAnsi="Times New Roman"/>
          <w:sz w:val="21"/>
          <w:szCs w:val="21"/>
        </w:rPr>
        <w:t xml:space="preserve">21.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Cavad Heyətin əsərlərinin biblioqrafiyası. In: Dr. Cavad Heyət. Azərbaycan nəşriyyatı, Baku, 1995.</w:t>
      </w:r>
    </w:p>
    <w:p>
      <w:pPr>
        <w:pStyle w:val="Heading2"/>
        <w:keepNext/>
        <w:spacing w:after="60" w:before="160"/>
        <w:keepLines/>
      </w:pPr>
      <w:r>
        <w:rPr>
          <w:rFonts w:ascii="Times New Roman" w:cs="Times New Roman" w:eastAsia="Times New Roman" w:hAnsi="Times New Roman"/>
          <w:b/>
          <w:bCs/>
          <w:sz w:val="22"/>
          <w:szCs w:val="22"/>
        </w:rPr>
        <w:t>Conference papers and abstracts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Türk milli birliyinin gerçəkləşməsində Güney Azərbaycan türklərinin yeri və önəmi. II International National Unity and Solidarity Symposium, İLESAM and the Ministry of Culture, Ankara, 22 March 2018.</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Cümhuriyyət öncəsi və sonrası İran ziyalılarının Məhəmməd Əmin Rəsulzadəyə baxışı. Symposium on Contemporary Turkic Studies, Ankara University, May 2018.</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Qiymətli ustadım mərhum Dr. C. Eralp Alışık. Symposium on Readings in Turkish Language and Culture, Yeditepe University, Istanbul, 3 May 2018.</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İranda türklər. International Congress of Turkic Culture, Balıkesir University, Burhaniye, 5–8 September 2018.</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Türkiyədə yaşayan iranlı sığınmacıların dil durumu. Symposium on Contemporary Turkic Studies, Ankara University, October 2017.</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Klassik fars ədəbiyyatında türk imici. Symposium on Contemporary Turkic Studies, Ankara University, November 2013.</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Tehran türklərində kimlik məsələsi. 1st Turkology Day, Ankara University, May 2011.</w:t>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Mirzə Mehdi Xan Əstərabadinin Məbaniyül-lüğət əsərində dil adlandırmaları. Symposium on Iranian Turkology, Ankara University, June 2010.</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İranda Azərbaycan və Xorasan türk dialektləri arasında bir şivə: Fereydan şivəsi. Symposium on Contemporary Turkic Studies, Ankara University, June 2008.</w:t>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Azərbaycan sahəsinin ən əski türkcə lüğəti: Sıhah-ul-əcəm. ICANAS, Atatürk Supreme Council for Culture, Language and History, Ankara, September 2007.</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İranda türkcənin standartlaşma prosesi. II International Congress of the Great Turkic Language, Bilkent University, Ankara, September 2007.</w:t>
      </w:r>
    </w:p>
    <w:p>
      <w:pPr>
        <w:spacing w:after="80"/>
      </w:pPr>
      <w:r>
        <w:rPr>
          <w:rFonts w:ascii="Times New Roman" w:cs="Times New Roman" w:eastAsia="Times New Roman" w:hAnsi="Times New Roman"/>
          <w:sz w:val="21"/>
          <w:szCs w:val="21"/>
        </w:rPr>
        <w:t xml:space="preserve">12.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İranda Məşrutiyyət dövrünə aid türkcə yazılı materiallar. First Congress of the Great Turkic Language, Bilkent University, Ankara, September 2006.</w:t>
      </w:r>
    </w:p>
    <w:p>
      <w:pPr>
        <w:spacing w:after="80"/>
      </w:pPr>
      <w:r>
        <w:rPr>
          <w:rFonts w:ascii="Times New Roman" w:cs="Times New Roman" w:eastAsia="Times New Roman" w:hAnsi="Times New Roman"/>
          <w:sz w:val="21"/>
          <w:szCs w:val="21"/>
        </w:rPr>
        <w:t xml:space="preserve">13. </w:t>
      </w:r>
      <w:r>
        <w:rPr>
          <w:rFonts w:ascii="Times New Roman" w:cs="Times New Roman" w:eastAsia="Times New Roman" w:hAnsi="Times New Roman"/>
          <w:b/>
          <w:bCs/>
          <w:sz w:val="21"/>
          <w:szCs w:val="21"/>
        </w:rPr>
        <w:t>Heyət, M. R.</w:t>
      </w:r>
      <w:r>
        <w:rPr>
          <w:rFonts w:ascii="Times New Roman" w:cs="Times New Roman" w:eastAsia="Times New Roman" w:hAnsi="Times New Roman"/>
          <w:sz w:val="21"/>
          <w:szCs w:val="21"/>
        </w:rPr>
        <w:t xml:space="preserve"> Xələcistan notları. 5th Symposium on Contemporary Turkic Studies, Ankara University, May 2006.</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 Turkish</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Tehran and Rajaee University, Tehran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Heyet, Mehmet Riza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