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smallCaps/>
          <w:color w:val="345D76"/>
          <w:sz w:val="28"/>
        </w:rPr>
        <w:t>WORLD ASSOCIATION OF</w:t>
      </w:r>
    </w:p>
    <w:p>
      <w:pPr>
        <w:jc w:val="center"/>
      </w:pPr>
      <w:r>
        <w:rPr>
          <w:smallCaps/>
          <w:color w:val="345D76"/>
          <w:sz w:val="28"/>
        </w:rPr>
        <w:t>AZERBAIJANI SCIENTISTS</w:t>
      </w:r>
    </w:p>
    <w:p/>
    <w:p>
      <w:pPr>
        <w:jc w:val="center"/>
      </w:pPr>
      <w:r>
        <w:rPr>
          <w:rFonts w:ascii="Calibri Light" w:hAnsi="Calibri Light"/>
          <w:b/>
          <w:color w:val="094D78"/>
          <w:sz w:val="48"/>
        </w:rPr>
        <w:t>New daab-waas.com website</w:t>
      </w:r>
    </w:p>
    <w:p>
      <w:pPr>
        <w:jc w:val="center"/>
      </w:pPr>
      <w:r>
        <w:rPr>
          <w:color w:val="C9A227"/>
        </w:rPr>
        <w:t>━━━━━━━━━━━━━━━━━━━━━━━━━━━━━━━━━━━━</w:t>
      </w:r>
    </w:p>
    <w:p>
      <w:pPr>
        <w:jc w:val="center"/>
      </w:pPr>
      <w:r>
        <w:rPr>
          <w:i/>
          <w:color w:val="345D76"/>
          <w:sz w:val="24"/>
        </w:rPr>
        <w:t>Information for colleagues  |  https://daab-waas.com</w:t>
      </w:r>
    </w:p>
    <w:p>
      <w:pPr>
        <w:jc w:val="center"/>
      </w:pPr>
    </w:p>
    <w:p>
      <w:pPr>
        <w:jc w:val="center"/>
      </w:pPr>
      <w:r>
        <w:rPr>
          <w:b/>
          <w:color w:val="094D78"/>
          <w:sz w:val="20"/>
        </w:rPr>
        <w:t xml:space="preserve">Generated: </w:t>
      </w:r>
      <w:r>
        <w:rPr>
          <w:color w:val="1A2E3D"/>
          <w:sz w:val="20"/>
        </w:rPr>
        <w:t>18 June 2026</w:t>
      </w:r>
    </w:p>
    <w:p>
      <w:r>
        <w:br w:type="page"/>
      </w:r>
    </w:p>
    <w:p>
      <w:pPr>
        <w:pStyle w:val="Heading1"/>
      </w:pPr>
      <w:r>
        <w:t>Summary</w:t>
      </w:r>
    </w:p>
    <w:p>
      <w:pPr>
        <w:spacing w:after="240"/>
      </w:pPr>
      <w:r>
        <w:t>This document introduces colleagues to the renewed https://daab-waas.com website, summarizing its new structure and design, full Azerbaijani–English bilingual support, and key capabilities—including online membership applications, sponsorship and donation pages, site-wide search, filtering, sorting and grouping (notably in the scientist directory), improved navigation, responsive layout, text-to-speech, and QR codes—and invites colleagues to review the site and share feedback for further improvements.</w:t>
      </w:r>
    </w:p>
    <w:p>
      <w:r>
        <w:br w:type="page"/>
      </w:r>
    </w:p>
    <w:p>
      <w:pPr>
        <w:pStyle w:val="Heading1"/>
      </w:pPr>
      <w:r>
        <w:t>Table of contents</w:t>
      </w:r>
    </w:p>
    <w:p>
      <w:pPr>
        <w:spacing w:after="240"/>
      </w:pPr>
      <w:r>
        <w:t>In Microsoft Word, select the table below and press F9, or right-click → Update Field → Update entire table.</w:t>
      </w:r>
    </w:p>
    <w:p>
      <w:pPr>
        <w:jc w:val="left"/>
      </w:pPr>
      <w:r>
        <w:fldChar w:fldCharType="begin"/>
      </w:r>
      <w:r>
        <w:instrText xml:space="preserve">TOC \o "1-3" \h \z \u</w:instrText>
      </w:r>
      <w:r>
        <w:fldChar w:fldCharType="separate"/>
      </w:r>
      <w:r>
        <w:rPr>
          <w:i/>
          <w:color w:val="345D76"/>
          <w:sz w:val="20"/>
        </w:rPr>
        <w:t>Open in Word, then press F9 or Update Field to refresh.</w:t>
      </w:r>
      <w:r>
        <w:fldChar w:fldCharType="end"/>
      </w:r>
    </w:p>
    <w:p>
      <w:r>
        <w:br w:type="page"/>
      </w:r>
    </w:p>
    <w:p>
      <w:pPr>
        <w:pStyle w:val="Heading1"/>
      </w:pPr>
      <w:r>
        <w:t>Cover letter</w:t>
      </w:r>
    </w:p>
    <w:p>
      <w:pPr>
        <w:spacing w:after="160"/>
      </w:pPr>
      <w:r>
        <w:t>Dear colleagues,</w:t>
      </w:r>
    </w:p>
    <w:p>
      <w:pPr>
        <w:spacing w:after="160"/>
      </w:pPr>
      <w:r>
        <w:t>Over the past few weeks I have been working on updating our website. Because the student project is not yet complete, I am carrying out this work in parallel and independently. I believe the site should be more attractive to users through a more modern design and broader functionality.</w:t>
      </w:r>
    </w:p>
    <w:p>
      <w:pPr>
        <w:spacing w:after="160"/>
      </w:pPr>
      <w:r>
        <w:t>With the support of artificial intelligence, I have migrated our existing site to the new https://daab-waas.com platform and substantially renewed its structure, design, and content.</w:t>
      </w:r>
    </w:p>
    <w:p>
      <w:pPr>
        <w:spacing w:after="160"/>
      </w:pPr>
      <w:r>
        <w:t>Bearing in mind that sponsorship, donations, and partnership support will play an important role in DAAB’s future activities, I have also prepared dedicated pages in this direction. I believe it is important to share our new site—especially the sponsorship and donation pages—with potential sponsors and partners when we reach out to them.</w:t>
      </w:r>
    </w:p>
    <w:p>
      <w:pPr>
        <w:spacing w:after="160"/>
      </w:pPr>
      <w:r>
        <w:t>If you have time, please review the new site. If you notice any inconsistency, technical error, missing content, or have suggestions, let me know so I can make the necessary corrections.</w:t>
      </w:r>
    </w:p>
    <w:p>
      <w:r>
        <w:br w:type="page"/>
      </w:r>
    </w:p>
    <w:p>
      <w:pPr>
        <w:pStyle w:val="Heading1"/>
      </w:pPr>
      <w:r>
        <w:t>Key changes and capabilities of the new site</w:t>
      </w:r>
    </w:p>
    <w:p>
      <w:pPr>
        <w:pStyle w:val="Heading2"/>
      </w:pPr>
      <w:r>
        <w:t>Membership Application</w:t>
      </w:r>
    </w:p>
    <w:p>
      <w:pPr>
        <w:spacing w:after="160"/>
      </w:pPr>
      <w:r>
        <w:t>The Membership Application functionality provides a simple, secure, and fully online process for individuals who wish to join our association. Through a dedicated application form, prospective members can submit their personal, academic, and professional information, areas of expertise, country and city of residence, contact details, and other relevant credentials for review. The system streamlines the membership process by collecting all required information in a structured format, enabling efficient evaluation by the Association. This functionality supports WAAS’s mission of connecting Azerbaijani scientists and professionals worldwide, expanding its global network, and fostering collaboration in science, education, innovation, and societal development.</w:t>
      </w:r>
    </w:p>
    <w:p>
      <w:pPr>
        <w:pStyle w:val="Heading2"/>
      </w:pPr>
      <w:r>
        <w:t>Sponsorship Opportunities</w:t>
      </w:r>
    </w:p>
    <w:p>
      <w:pPr>
        <w:spacing w:after="160"/>
      </w:pPr>
      <w:r>
        <w:t>The Sponsorship functionality provides organizations, companies, and individual supporters with an opportunity to contribute to the activities and initiatives of our Association. Through this section, potential sponsors can learn about the projects, forums, scientific events, educational programs, and other activities carried out by the organization, explore various sponsorship packages, and express their interest in collaboration directly to WAAS. By supporting science, education, and innovation, the sponsorship mechanism not only contributes to the advancement of these fields but also helps sponsoring organizations strengthen their corporate social responsibility initiatives and enhance their public reputation.</w:t>
      </w:r>
    </w:p>
    <w:p>
      <w:pPr>
        <w:pStyle w:val="Heading2"/>
      </w:pPr>
      <w:r>
        <w:t>Donate</w:t>
      </w:r>
    </w:p>
    <w:p>
      <w:pPr>
        <w:spacing w:after="160"/>
      </w:pPr>
      <w:r>
        <w:t>The Donation functionality is designed for individuals and organizations who wish to contribute to the advancement of science, education, and international scientific cooperation. Through this section, users can voluntarily support the funding of WAAS’s projects, scientific initiatives, young researcher support programs, international forums, and other activities. The funds collected are utilized in accordance with the Association’s mission and objectives, contributing to the global development of Azerbaijani science and strengthening collaboration among Azerbaijani scientists living and working in different countries around the world.</w:t>
      </w:r>
    </w:p>
    <w:p>
      <w:pPr>
        <w:pStyle w:val="Heading2"/>
      </w:pPr>
      <w:r>
        <w:t>Advanced Search and Filtering</w:t>
      </w:r>
    </w:p>
    <w:p>
      <w:pPr>
        <w:spacing w:after="160"/>
      </w:pPr>
      <w:r>
        <w:t>The enhanced search and filtering functionality enables users to quickly and efficiently locate relevant information within the website’s extensive content repository. Information can be filtered using a variety of criteria, including country, city, field of expertise, scientific discipline, organization, event, and other categories. This capability helps users find the most relevant content with greater accuracy while significantly improving the overall browsing experience.</w:t>
      </w:r>
    </w:p>
    <w:p>
      <w:pPr>
        <w:pStyle w:val="Heading2"/>
      </w:pPr>
      <w:r>
        <w:t>Sorting Capabilities</w:t>
      </w:r>
    </w:p>
    <w:p>
      <w:pPr>
        <w:spacing w:after="160"/>
      </w:pPr>
      <w:r>
        <w:t>The sorting functionality allows users to organize information according to their specific preferences and needs. Content can be sorted alphabetically, by date, country, field of activity, and other available parameters in ascending or descending order. This feature is particularly valuable when navigating large datasets, making information discovery faster and more intuitive.</w:t>
      </w:r>
    </w:p>
    <w:p>
      <w:pPr>
        <w:pStyle w:val="Heading2"/>
      </w:pPr>
      <w:r>
        <w:t>Grouping and Categorization</w:t>
      </w:r>
    </w:p>
    <w:p>
      <w:pPr>
        <w:spacing w:after="160"/>
      </w:pPr>
      <w:r>
        <w:t>The grouping functionality presents information in a structured and logical manner by organizing related records into meaningful categories. For example, scientists can be grouped by country, scientific discipline, professional field, or other classification criteria. This approach helps users better understand relationships between records and gain a clearer overview of the available information.</w:t>
      </w:r>
    </w:p>
    <w:p>
      <w:pPr>
        <w:pStyle w:val="Heading2"/>
      </w:pPr>
      <w:r>
        <w:t>Enhanced Navigation System</w:t>
      </w:r>
    </w:p>
    <w:p>
      <w:pPr>
        <w:spacing w:after="160"/>
      </w:pPr>
      <w:r>
        <w:t>The redesigned navigation system provides a more intuitive and user-friendly experience across the website. Improved menus, hierarchical submenus, contextual navigation elements, and breadcrumb trails allow users to move seamlessly between sections and quickly understand their current location within the site structure. This significantly improves accessibility and ease of use.</w:t>
      </w:r>
    </w:p>
    <w:p>
      <w:pPr>
        <w:pStyle w:val="Heading2"/>
      </w:pPr>
      <w:r>
        <w:t>Card and List Views</w:t>
      </w:r>
    </w:p>
    <w:p>
      <w:pPr>
        <w:spacing w:after="160"/>
      </w:pPr>
      <w:r>
        <w:t>Users can choose between card-based and list-based presentation modes according to their preferences. The card view offers a visually engaging layout that highlights key information, while the list view enables users to review larger amounts of information efficiently. This flexibility ensures an optimal experience for different user needs and browsing styles.</w:t>
      </w:r>
    </w:p>
    <w:p>
      <w:pPr>
        <w:pStyle w:val="Heading2"/>
      </w:pPr>
      <w:r>
        <w:t>Responsive and Mobile-Friendly Design</w:t>
      </w:r>
    </w:p>
    <w:p>
      <w:pPr>
        <w:spacing w:after="160"/>
      </w:pPr>
      <w:r>
        <w:t>All website features have been designed and optimized to function seamlessly across desktops, tablets, and mobile devices. Responsive design principles ensure that content remains accessible, readable, and easy to navigate regardless of screen size. This allows users to access information and services anytime and from anywhere.</w:t>
      </w:r>
    </w:p>
    <w:p>
      <w:pPr>
        <w:pStyle w:val="Heading2"/>
      </w:pPr>
      <w:r>
        <w:t>Multilingual Content Support</w:t>
      </w:r>
    </w:p>
    <w:p>
      <w:pPr>
        <w:spacing w:after="160"/>
      </w:pPr>
      <w:r>
        <w:t>The multilingual functionality enables users to access information both in Azerbaijani and english languages, making the platform more accessible to Azerbaijani scientists, researchers, professionals, and partners worldwide. This capability supports international collaboration and ensures effective communication across diverse audiences.</w:t>
      </w:r>
    </w:p>
    <w:p>
      <w:pPr>
        <w:pStyle w:val="Heading2"/>
      </w:pPr>
      <w:r>
        <w:t>Structured Information Presentation</w:t>
      </w:r>
    </w:p>
    <w:p>
      <w:pPr>
        <w:spacing w:after="160"/>
      </w:pPr>
      <w:r>
        <w:t>The website employs modern information architecture principles to present content in a clear, organized, and user-friendly format. Categories, sections, visual cards, tables, and contextual links help users understand complex information more easily and locate relevant content with minimal effort. This significantly enhances both usability and knowledge discovery.</w:t>
      </w:r>
    </w:p>
    <w:p>
      <w:pPr>
        <w:pStyle w:val="Heading2"/>
      </w:pPr>
      <w:r>
        <w:t>Advanced Scientist Directory Management</w:t>
      </w:r>
    </w:p>
    <w:p>
      <w:pPr>
        <w:spacing w:after="160"/>
      </w:pPr>
      <w:r>
        <w:t>The enhanced Scientist Directory incorporates powerful search, filtering, sorting, and grouping capabilities that enable users to explore the global network of Azerbaijani scientists more effectively. Scientists can be identified and categorized by country, field of expertise, academic discipline, institution, and other criteria. This functionality facilitates networking, collaboration, knowledge exchange, and the development of new scientific partnerships across countries and disciplines.</w:t>
      </w:r>
    </w:p>
    <w:p>
      <w:pPr>
        <w:pStyle w:val="Heading2"/>
      </w:pPr>
      <w:r>
        <w:t>Interactive Data Exploration</w:t>
      </w:r>
    </w:p>
    <w:p>
      <w:pPr>
        <w:spacing w:after="160"/>
      </w:pPr>
      <w:r>
        <w:t>The newly introduced interactive data exploration features allow users to dynamically browse and analyze information through advanced filtering, categorization, and navigation tools. These capabilities provide a more personalized and efficient way to discover content, identify connections, and access relevant resources throughout the platform.</w:t>
      </w:r>
    </w:p>
    <w:p>
      <w:pPr>
        <w:pStyle w:val="Heading2"/>
      </w:pPr>
      <w:r>
        <w:t>Scalable Information Management</w:t>
      </w:r>
    </w:p>
    <w:p>
      <w:pPr>
        <w:spacing w:after="160"/>
      </w:pPr>
      <w:r>
        <w:t>The platform has been designed to support continuous growth and expansion. Its scalable architecture allows new content, scientists, projects, events, publications, and other resources to be added and organized efficiently while maintaining high performance, consistency, and ease of navigation for users.</w:t>
      </w:r>
    </w:p>
    <w:p>
      <w:pPr>
        <w:pStyle w:val="Heading2"/>
      </w:pPr>
      <w:r>
        <w:t>Text-to-Speech (Listening) Functionality</w:t>
      </w:r>
    </w:p>
    <w:p>
      <w:pPr>
        <w:spacing w:after="160"/>
      </w:pPr>
      <w:r>
        <w:t>The Text-to-Speech functionality allows users to listen to website content instead of reading it, improving accessibility and convenience. With this feature, visitors can hear articles, announcements, profiles, and other textual content directly from the website. It is especially useful for users who prefer audio content, have visual limitations, or access the site while multitasking. Please note that this functionality depends on browser and device support and may not be available on some browsers or mobile devices.</w:t>
      </w:r>
    </w:p>
    <w:p>
      <w:pPr>
        <w:pStyle w:val="Heading2"/>
      </w:pPr>
      <w:r>
        <w:t>QR Code Functionality</w:t>
      </w:r>
    </w:p>
    <w:p>
      <w:pPr>
        <w:spacing w:after="160"/>
      </w:pPr>
      <w:r>
        <w:t>The QR Code functionality has been introduced to provide users with faster and more convenient access to information, resources, and services available on the website. By simply scanning a QR code with a smartphone or tablet, users can instantly navigate to specific web pages, documents, event information, membership applications, sponsorship opportunities, donation pages, or other relevant content without the need to manually enter web addresses. This functionality enhances accessibility, simplifies information sharing, and improves the overall user experience, particularly during conferences, meetings, presentations, and promotional activities where quick access to digital resources is essential.</w:t>
      </w:r>
    </w:p>
    <w:p>
      <w:r>
        <w:br w:type="page"/>
      </w:r>
    </w:p>
    <w:p>
      <w:pPr>
        <w:pStyle w:val="Heading1"/>
      </w:pPr>
      <w:r>
        <w:t>Brief overview</w:t>
      </w:r>
    </w:p>
    <w:p>
      <w:pPr>
        <w:pStyle w:val="Heading2"/>
      </w:pPr>
      <w:r>
        <w:t>Redesigned appearance</w:t>
      </w:r>
    </w:p>
    <w:p>
      <w:pPr>
        <w:spacing w:after="160"/>
      </w:pPr>
      <w:r>
        <w:t>The site’s appearance has been completely reworked. A modern navigation bar, dropdown menus, functional pages in card layout, and the new email address info@daab-waas.com have been introduced.</w:t>
      </w:r>
    </w:p>
    <w:p>
      <w:pPr>
        <w:spacing w:after="160"/>
      </w:pPr>
      <w:r>
        <w:t>Page headers and footers use the new design. The site QR code is placed in the footer (left panel), allowing the site to be opened directly from any device, smartphone, or tablet.</w:t>
      </w:r>
    </w:p>
    <w:p>
      <w:pPr>
        <w:spacing w:after="160"/>
      </w:pPr>
      <w:r>
        <w:t>Tables also include filter, sorting, grouping, and similar functions.</w:t>
      </w:r>
    </w:p>
    <w:p>
      <w:pPr>
        <w:pStyle w:val="Heading2"/>
      </w:pPr>
      <w:r>
        <w:t>Bilingual site</w:t>
      </w:r>
    </w:p>
    <w:p>
      <w:pPr>
        <w:spacing w:after="160"/>
      </w:pPr>
      <w:r>
        <w:t>The website is fully bilingual in Azerbaijani and English, making it more accessible both to the diaspora community and to international users who do not speak Azerbaijani.</w:t>
      </w:r>
    </w:p>
    <w:p>
      <w:pPr>
        <w:pStyle w:val="Heading2"/>
      </w:pPr>
      <w:r>
        <w:t>Sponsorship and partnership</w:t>
      </w:r>
    </w:p>
    <w:p>
      <w:pPr>
        <w:spacing w:after="160"/>
      </w:pPr>
      <w:r>
        <w:t>A dedicated section has been created for potential sponsors and institutional partners. It explains in detail how companies, foundations, and organizations can support DAAB’s mission, including funding forums, education programs, scientific projects, and other initiatives, as well as opportunities for joint partnership.</w:t>
      </w:r>
    </w:p>
    <w:p>
      <w:pPr>
        <w:pStyle w:val="Heading2"/>
      </w:pPr>
      <w:r>
        <w:t>Site-wide global search</w:t>
      </w:r>
    </w:p>
    <w:p>
      <w:pPr>
        <w:spacing w:after="160"/>
      </w:pPr>
      <w:r>
        <w:t>Users can search across all site content by entering keywords from any page. Search covers member profiles, news, events, catalogues, and other sections. Results appear on screen immediately without reloading the page.</w:t>
      </w:r>
    </w:p>
    <w:p>
      <w:pPr>
        <w:pStyle w:val="Heading2"/>
      </w:pPr>
      <w:r>
        <w:t>QR codes</w:t>
      </w:r>
    </w:p>
    <w:p>
      <w:pPr>
        <w:spacing w:after="160"/>
      </w:pPr>
      <w:r>
        <w:t>Each scientist’s profile page includes a QR code. Scanning it opens the academic profile directly on any device, smartphone, or tablet.</w:t>
      </w:r>
    </w:p>
    <w:p>
      <w:pPr>
        <w:pStyle w:val="Heading2"/>
      </w:pPr>
      <w:r>
        <w:t>Listen (text-to-speech)</w:t>
      </w:r>
    </w:p>
    <w:p>
      <w:pPr>
        <w:spacing w:after="160"/>
      </w:pPr>
      <w:r>
        <w:t>Scientist profile texts can be read or listened to. In English this function should work in all major browsers. For Azerbaijani, whether text-to-speech works depends on TTS support for Azerbaijani in the user’s browser or mobile device.</w:t>
      </w:r>
    </w:p>
    <w:sectPr w:rsidR="00FC693F" w:rsidRPr="0006063C" w:rsidSect="00034616">
      <w:headerReference w:type="default" r:id="rId9"/>
      <w:headerReference w:type="first" r:id="rId10"/>
      <w:footerReference w:type="default" r:id="rId11"/>
      <w:footerReference w:type="first" r:id="rId12"/>
      <w:pgSz w:w="12240" w:h="15840"/>
      <w:pgMar w:top="1134" w:right="1417" w:bottom="1134"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p>
    <w:pPr>
      <w:jc w:val="center"/>
    </w:pPr>
    <w:r>
      <w:rPr>
        <w:color w:val="345D76"/>
        <w:sz w:val="18"/>
      </w:rPr>
      <w:t xml:space="preserve">WAAS / DAAB   |   Page </w:t>
    </w:r>
    <w:r>
      <w:fldChar w:fldCharType="begin"/>
    </w:r>
    <w:r>
      <w:instrText xml:space="preserve">PAGE</w:instrText>
    </w:r>
    <w:r>
      <w:fldChar w:fldCharType="separate"/>
    </w:r>
    <w:r>
      <w:t>1</w:t>
    </w:r>
    <w:r>
      <w:fldChar w:fldCharType="end"/>
    </w:r>
    <w:r>
      <w:rPr>
        <w:color w:val="345D76"/>
        <w:sz w:val="18"/>
      </w:rPr>
      <w:t xml:space="preserve">   |   June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p>
    <w:pPr>
      <w:jc w:val="center"/>
    </w:pPr>
    <w:r>
      <w:rPr>
        <w:color w:val="C9A227"/>
        <w:sz w:val="18"/>
      </w:rPr>
      <w:t>daab-waas.com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p>
    <w:pPr>
      <w:jc w:val="left"/>
    </w:pPr>
    <w:r>
      <w:rPr>
        <w:color w:val="345D76"/>
        <w:sz w:val="18"/>
      </w:rPr>
      <w:t>WAAS — New daab-waas.com website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Rule="auto" w:line="276"/>
    </w:pPr>
    <w:rPr>
      <w:rFonts w:ascii="Calibri" w:hAnsi="Calibri"/>
      <w:color w:val="1A2E3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Calibri Light" w:hAnsi="Calibri Light"/>
      <w:b/>
      <w:bCs/>
      <w:color w:val="094D78"/>
      <w:sz w:val="36"/>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Calibri Light" w:hAnsi="Calibri Light"/>
      <w:b/>
      <w:bCs/>
      <w:color w:val="0069B4"/>
      <w:sz w:val="28"/>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asciiTheme="majorHAnsi" w:eastAsiaTheme="majorEastAsia" w:hAnsiTheme="majorHAnsi" w:cstheme="majorBidi" w:ascii="Calibri Light" w:hAnsi="Calibri Light"/>
      <w:b/>
      <w:bCs/>
      <w:color w:val="094D78"/>
      <w:sz w:val="24"/>
    </w:rPr>
  </w:style>
  <w:style w:type="paragraph" w:styleId="Heading4">
    <w:name w:val="heading 4"/>
    <w:basedOn w:val="Normal"/>
    <w:next w:val="Normal"/>
    <w:link w:val="Heading4Char"/>
    <w:uiPriority w:val="9"/>
    <w:semiHidden/>
    <w:unhideWhenUsed/>
    <w:qFormat/>
    <w:rsid w:val="00FC693F"/>
    <w:pPr>
      <w:keepNext/>
      <w:keepLines/>
      <w:spacing w:before="200" w:after="160"/>
      <w:outlineLvl w:val="3"/>
    </w:pPr>
    <w:rPr>
      <w:rFonts w:asciiTheme="majorHAnsi" w:eastAsiaTheme="majorEastAsia" w:hAnsiTheme="majorHAnsi" w:cstheme="majorBidi" w:ascii="Calibri Light" w:hAnsi="Calibri Light"/>
      <w:b/>
      <w:bCs/>
      <w:i/>
      <w:iCs/>
      <w:color w:val="0069B4"/>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20" w:after="120"/>
      <w:ind w:left="567"/>
    </w:pPr>
    <w:rPr>
      <w:rFonts w:ascii="Calibri" w:hAnsi="Calibri"/>
      <w:i/>
      <w:iCs/>
      <w:color w:val="345D76"/>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