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Cookie Policy</w:t>
      </w:r>
    </w:p>
    <w:p>
      <w:pPr>
        <w:jc w:val="center"/>
      </w:pPr>
      <w:r>
        <w:rPr>
          <w:rFonts w:ascii="Calibri" w:hAnsi="Calibri"/>
          <w:b w:val="0"/>
          <w:sz w:val="22"/>
        </w:rPr>
        <w:t>World Association of Azerbaijani Scientists (DAAB / WAAS)</w:t>
      </w:r>
    </w:p>
    <w:p>
      <w:pPr>
        <w:jc w:val="center"/>
      </w:pPr>
      <w:r>
        <w:rPr>
          <w:rFonts w:ascii="Calibri" w:hAnsi="Calibri"/>
          <w:b w:val="0"/>
          <w:sz w:val="22"/>
        </w:rPr>
        <w:t>Last updated: 27 July 2026</w:t>
      </w:r>
    </w:p>
    <w:p>
      <w:r>
        <w:rPr>
          <w:rFonts w:ascii="Calibri" w:hAnsi="Calibri"/>
          <w:b w:val="0"/>
          <w:sz w:val="22"/>
        </w:rPr>
        <w:t>This English document is aligned with the live Cookie policy on https://daab-waas.com/en/cookies.html and the Site’s cookie consent implementation.</w:t>
      </w:r>
    </w:p>
    <w:p>
      <w:r>
        <w:rPr>
          <w:rFonts w:ascii="Calibri" w:hAnsi="Calibri"/>
          <w:b/>
          <w:sz w:val="24"/>
        </w:rPr>
        <w:t>1. What are cookies?</w:t>
      </w:r>
    </w:p>
    <w:p>
      <w:r>
        <w:rPr>
          <w:rFonts w:ascii="Calibri" w:hAnsi="Calibri"/>
          <w:b w:val="0"/>
          <w:sz w:val="22"/>
        </w:rPr>
        <w:t>Cookies are small text files stored on your device by your browser. They may support site functions, language preference and (with consent) visit statistics. The Site also uses browser local storage for certain preferences.</w:t>
      </w:r>
    </w:p>
    <w:p>
      <w:r>
        <w:rPr>
          <w:rFonts w:ascii="Calibri" w:hAnsi="Calibri"/>
          <w:b/>
          <w:sz w:val="24"/>
        </w:rPr>
        <w:t>2. Cookies and storage we use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Category</w:t>
            </w:r>
          </w:p>
        </w:tc>
        <w:tc>
          <w:tcPr>
            <w:tcW w:type="dxa" w:w="2160"/>
          </w:tcPr>
          <w:p>
            <w:r/>
            <w:r>
              <w:rPr>
                <w:rFonts w:ascii="Calibri" w:hAnsi="Calibri"/>
                <w:b/>
                <w:sz w:val="20"/>
              </w:rPr>
              <w:t>Purpose</w:t>
            </w:r>
          </w:p>
        </w:tc>
        <w:tc>
          <w:tcPr>
            <w:tcW w:type="dxa" w:w="2160"/>
          </w:tcPr>
          <w:p>
            <w:r/>
            <w:r>
              <w:rPr>
                <w:rFonts w:ascii="Calibri" w:hAnsi="Calibri"/>
                <w:b/>
                <w:sz w:val="20"/>
              </w:rPr>
              <w:t>Examples / keys</w:t>
            </w:r>
          </w:p>
        </w:tc>
        <w:tc>
          <w:tcPr>
            <w:tcW w:type="dxa" w:w="2160"/>
          </w:tcPr>
          <w:p>
            <w:r/>
            <w:r>
              <w:rPr>
                <w:rFonts w:ascii="Calibri" w:hAnsi="Calibri"/>
                <w:b/>
                <w:sz w:val="20"/>
              </w:rPr>
              <w:t>Consent required?</w:t>
            </w:r>
          </w:p>
        </w:tc>
      </w:tr>
      <w:tr>
        <w:tc>
          <w:tcPr>
            <w:tcW w:type="dxa" w:w="2160"/>
          </w:tcPr>
          <w:p>
            <w:r/>
            <w:r>
              <w:rPr>
                <w:rFonts w:ascii="Calibri" w:hAnsi="Calibri"/>
                <w:b w:val="0"/>
                <w:sz w:val="20"/>
              </w:rPr>
              <w:t>Essential</w:t>
            </w:r>
          </w:p>
        </w:tc>
        <w:tc>
          <w:tcPr>
            <w:tcW w:type="dxa" w:w="2160"/>
          </w:tcPr>
          <w:p>
            <w:r/>
            <w:r>
              <w:rPr>
                <w:rFonts w:ascii="Calibri" w:hAnsi="Calibri"/>
                <w:b w:val="0"/>
                <w:sz w:val="20"/>
              </w:rPr>
              <w:t>Core site functions, security, remembering language and cookie choice</w:t>
            </w:r>
          </w:p>
        </w:tc>
        <w:tc>
          <w:tcPr>
            <w:tcW w:type="dxa" w:w="2160"/>
          </w:tcPr>
          <w:p>
            <w:r/>
            <w:r>
              <w:rPr>
                <w:rFonts w:ascii="Calibri" w:hAnsi="Calibri"/>
                <w:b w:val="0"/>
                <w:sz w:val="20"/>
              </w:rPr>
              <w:t>daab-cookie-consent (localStorage); daab-lang (language preference)</w:t>
            </w:r>
          </w:p>
        </w:tc>
        <w:tc>
          <w:tcPr>
            <w:tcW w:type="dxa" w:w="2160"/>
          </w:tcPr>
          <w:p>
            <w:r/>
            <w:r>
              <w:rPr>
                <w:rFonts w:ascii="Calibri" w:hAnsi="Calibri"/>
                <w:b w:val="0"/>
                <w:sz w:val="20"/>
              </w:rPr>
              <w:t>No — always active</w:t>
            </w:r>
          </w:p>
        </w:tc>
      </w:tr>
      <w:tr>
        <w:tc>
          <w:tcPr>
            <w:tcW w:type="dxa" w:w="2160"/>
          </w:tcPr>
          <w:p>
            <w:r/>
            <w:r>
              <w:rPr>
                <w:rFonts w:ascii="Calibri" w:hAnsi="Calibri"/>
                <w:b w:val="0"/>
                <w:sz w:val="20"/>
              </w:rPr>
              <w:t>Analytics (optional)</w:t>
            </w:r>
          </w:p>
        </w:tc>
        <w:tc>
          <w:tcPr>
            <w:tcW w:type="dxa" w:w="2160"/>
          </w:tcPr>
          <w:p>
            <w:r/>
            <w:r>
              <w:rPr>
                <w:rFonts w:ascii="Calibri" w:hAnsi="Calibri"/>
                <w:b w:val="0"/>
                <w:sz w:val="20"/>
              </w:rPr>
              <w:t>Google Analytics 4 — page views and aggregate statistics</w:t>
            </w:r>
          </w:p>
        </w:tc>
        <w:tc>
          <w:tcPr>
            <w:tcW w:type="dxa" w:w="2160"/>
          </w:tcPr>
          <w:p>
            <w:r/>
            <w:r>
              <w:rPr>
                <w:rFonts w:ascii="Calibri" w:hAnsi="Calibri"/>
                <w:b w:val="0"/>
                <w:sz w:val="20"/>
              </w:rPr>
              <w:t>GA4 cookies / tags (only after consent); measurement configured in site analytics settings</w:t>
            </w:r>
          </w:p>
        </w:tc>
        <w:tc>
          <w:tcPr>
            <w:tcW w:type="dxa" w:w="2160"/>
          </w:tcPr>
          <w:p>
            <w:r/>
            <w:r>
              <w:rPr>
                <w:rFonts w:ascii="Calibri" w:hAnsi="Calibri"/>
                <w:b w:val="0"/>
                <w:sz w:val="20"/>
              </w:rPr>
              <w:t>Yes — via cookie banner</w:t>
            </w:r>
          </w:p>
        </w:tc>
      </w:tr>
    </w:tbl>
    <w:p>
      <w:r>
        <w:rPr>
          <w:rFonts w:ascii="Calibri" w:hAnsi="Calibri"/>
          <w:b w:val="0"/>
          <w:sz w:val="22"/>
        </w:rPr>
        <w:t>The Site does not currently rely on separate “functional” or social-share cookie categories beyond the essential and optional analytics categories above. If additional third-party embeds that set cookies are introduced later, this policy and the banner categories should be updated.</w:t>
      </w:r>
    </w:p>
    <w:p>
      <w:r>
        <w:rPr>
          <w:rFonts w:ascii="Calibri" w:hAnsi="Calibri"/>
          <w:b/>
          <w:sz w:val="24"/>
        </w:rPr>
        <w:t>3. Google Analytics</w:t>
      </w:r>
    </w:p>
    <w:p>
      <w:r>
        <w:rPr>
          <w:rFonts w:ascii="Calibri" w:hAnsi="Calibri"/>
          <w:b w:val="0"/>
          <w:sz w:val="22"/>
        </w:rPr>
        <w:t>If you consent, Google Analytics 4 may be enabled. This is a service provided by Google LLC and may involve transfers of data abroad. If you do not consent (or choose “Essential only”), the analytics script is not loaded.</w:t>
      </w:r>
    </w:p>
    <w:p>
      <w:r>
        <w:rPr>
          <w:rFonts w:ascii="Calibri" w:hAnsi="Calibri"/>
          <w:b/>
          <w:sz w:val="24"/>
        </w:rPr>
        <w:t>4. Local storage</w:t>
      </w:r>
    </w:p>
    <w:p>
      <w:r>
        <w:rPr>
          <w:rFonts w:ascii="Calibri" w:hAnsi="Calibri"/>
          <w:b w:val="0"/>
          <w:sz w:val="22"/>
        </w:rPr>
        <w:t>Your cookie consent choice is stored in the browser’s localStorage under the key daab-cookie-consent so the banner is not shown on every visit. Language preference may be stored under daab-lang.</w:t>
      </w:r>
    </w:p>
    <w:p>
      <w:r>
        <w:rPr>
          <w:rFonts w:ascii="Calibri" w:hAnsi="Calibri"/>
          <w:b/>
          <w:sz w:val="24"/>
        </w:rPr>
        <w:t>5. How we obtain and manage consent</w:t>
      </w:r>
    </w:p>
    <w:p>
      <w:r>
        <w:rPr>
          <w:rFonts w:ascii="Calibri" w:hAnsi="Calibri"/>
          <w:b w:val="0"/>
          <w:sz w:val="22"/>
        </w:rPr>
        <w:t>On your first visit, a cookie banner offers: Accept all, Essential only, Preferences, and Save choices. Essential cookies do not require consent. Analytics cookies run only with your consent. You can reopen cookie settings from the Cookie policy page (“Open cookie settings”).</w:t>
      </w:r>
    </w:p>
    <w:p>
      <w:r>
        <w:rPr>
          <w:rFonts w:ascii="Calibri" w:hAnsi="Calibri"/>
          <w:b w:val="0"/>
          <w:sz w:val="22"/>
        </w:rPr>
        <w:t>Suggested banner text (already in use on the Site): “We use essential cookies to run this site. Optional analytics cookies (Google Analytics) help us understand visits and are used only with your consent, in line with Turkish KVKK requirements.”</w:t>
      </w:r>
    </w:p>
    <w:p>
      <w:r>
        <w:rPr>
          <w:rFonts w:ascii="Calibri" w:hAnsi="Calibri"/>
          <w:b/>
          <w:sz w:val="24"/>
        </w:rPr>
        <w:t>6. Browser controls</w:t>
      </w:r>
    </w:p>
    <w:p>
      <w:r>
        <w:rPr>
          <w:rFonts w:ascii="Calibri" w:hAnsi="Calibri"/>
          <w:b w:val="0"/>
          <w:sz w:val="22"/>
        </w:rPr>
        <w:t>In addition to the Site’s consent tool, you can control or delete cookies through your browser settings. Blocking all cookies or clearing local storage may affect language preference and may cause the consent banner to reappear.</w:t>
      </w:r>
    </w:p>
    <w:p>
      <w:r>
        <w:rPr>
          <w:rFonts w:ascii="Calibri" w:hAnsi="Calibri"/>
          <w:b/>
          <w:sz w:val="24"/>
        </w:rPr>
        <w:t>7. Related documents</w:t>
      </w:r>
    </w:p>
    <w:p>
      <w:pPr>
        <w:pStyle w:val="ListBullet"/>
      </w:pPr>
      <w:r>
        <w:rPr>
          <w:rFonts w:ascii="Calibri" w:hAnsi="Calibri"/>
          <w:b w:val="0"/>
          <w:sz w:val="22"/>
        </w:rPr>
        <w:t>Privacy notice: https://daab-waas.com/en/privacy.html</w:t>
      </w:r>
    </w:p>
    <w:p>
      <w:pPr>
        <w:pStyle w:val="ListBullet"/>
      </w:pPr>
      <w:r>
        <w:rPr>
          <w:rFonts w:ascii="Calibri" w:hAnsi="Calibri"/>
          <w:b w:val="0"/>
          <w:sz w:val="22"/>
        </w:rPr>
        <w:t>Cookie policy (web): https://daab-waas.com/en/cookies.html</w:t>
      </w:r>
    </w:p>
    <w:p>
      <w:pPr>
        <w:pStyle w:val="ListBullet"/>
      </w:pPr>
      <w:r>
        <w:rPr>
          <w:rFonts w:ascii="Calibri" w:hAnsi="Calibri"/>
          <w:b w:val="0"/>
          <w:sz w:val="22"/>
        </w:rPr>
        <w:t>Legal notice: https://daab-waas.com/en/legal-notice.html</w:t>
      </w:r>
    </w:p>
    <w:p>
      <w:pPr>
        <w:pStyle w:val="ListBullet"/>
      </w:pPr>
      <w:r>
        <w:rPr>
          <w:rFonts w:ascii="Calibri" w:hAnsi="Calibri"/>
          <w:b w:val="0"/>
          <w:sz w:val="22"/>
        </w:rPr>
        <w:t>Terms of use: https://daab-waas.com/en/terms.html</w:t>
      </w:r>
    </w:p>
    <w:p>
      <w:r>
        <w:rPr>
          <w:rFonts w:ascii="Calibri" w:hAnsi="Calibri"/>
          <w:b/>
          <w:sz w:val="24"/>
        </w:rPr>
        <w:t>8. Changes</w:t>
      </w:r>
    </w:p>
    <w:p>
      <w:r>
        <w:rPr>
          <w:rFonts w:ascii="Calibri" w:hAnsi="Calibri"/>
          <w:b w:val="0"/>
          <w:sz w:val="22"/>
        </w:rPr>
        <w:t>We may update this Cookie Policy as the Site’s use of cookies changes. The “Last updated” date reflects the most recent revision.</w:t>
      </w:r>
    </w:p>
    <w:p>
      <w:r>
        <w:rPr>
          <w:rFonts w:ascii="Calibri" w:hAnsi="Calibri"/>
          <w:b/>
          <w:sz w:val="24"/>
        </w:rPr>
        <w:t>9. Contact</w:t>
      </w:r>
    </w:p>
    <w:p>
      <w:r>
        <w:rPr>
          <w:rFonts w:ascii="Calibri" w:hAnsi="Calibri"/>
          <w:b w:val="0"/>
          <w:sz w:val="22"/>
        </w:rPr>
        <w:t>Questions: info@daab-waas.com</w:t>
      </w:r>
    </w:p>
    <w:p>
      <w:r>
        <w:rPr>
          <w:rFonts w:ascii="Calibri" w:hAnsi="Calibri"/>
          <w:b w:val="0"/>
          <w:sz w:val="22"/>
        </w:rPr>
        <w:t>Dünya Azerbaycanlı Alimler Derneği</w:t>
      </w:r>
    </w:p>
    <w:p>
      <w:r>
        <w:rPr>
          <w:rFonts w:ascii="Calibri" w:hAnsi="Calibri"/>
          <w:b w:val="0"/>
          <w:sz w:val="22"/>
        </w:rPr>
        <w:t>World Association of Azerbaijani Scientists (DAAB / WAAS)</w:t>
      </w:r>
    </w:p>
    <w:p>
      <w:r>
        <w:rPr>
          <w:rFonts w:ascii="Calibri" w:hAnsi="Calibri"/>
          <w:b w:val="0"/>
          <w:sz w:val="22"/>
        </w:rPr>
        <w:t>Feneryolu Mahallesi, Gazi Muhtar Paşa Sokak No:44, Kadıköy, Istanbul, Türkiye</w:t>
      </w:r>
    </w:p>
    <w:p>
      <w:r>
        <w:rPr>
          <w:rFonts w:ascii="Calibri" w:hAnsi="Calibri"/>
          <w:b w:val="0"/>
          <w:sz w:val="22"/>
        </w:rPr>
        <w:t>Email: info@daab-waas.com</w:t>
      </w:r>
    </w:p>
    <w:p>
      <w:r>
        <w:rPr>
          <w:rFonts w:ascii="Calibri" w:hAnsi="Calibri"/>
          <w:b w:val="0"/>
          <w:sz w:val="22"/>
        </w:rPr>
        <w:t>Phone: +90 555 147 46 74</w:t>
      </w:r>
    </w:p>
    <w:p>
      <w:r>
        <w:rPr>
          <w:rFonts w:ascii="Calibri" w:hAnsi="Calibri"/>
          <w:b w:val="0"/>
          <w:sz w:val="22"/>
        </w:rPr>
        <w:t>Website: https://daab-waas.com</w:t>
      </w:r>
    </w:p>
    <w:p>
      <w:r>
        <w:rPr>
          <w:rFonts w:ascii="Calibri" w:hAnsi="Calibri"/>
          <w:b w:val="0"/>
          <w:sz w:val="22"/>
        </w:rPr>
        <w:t>Leadership: Prof. Dr. Messoud Efendiyev, Chair of the WAAS Executive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