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color w:val="1A6FA8"/>
          <w:sz w:val="20"/>
          <w:szCs w:val="20"/>
        </w:rPr>
        <w:t>CURRICULUM VITAE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>Murad Abuzerli, PhD</w:t>
      </w:r>
    </w:p>
    <w:p>
      <w:pPr>
        <w:spacing w:after="40"/>
      </w:pPr>
      <w:r>
        <w:rPr>
          <w:rFonts w:ascii="Times New Roman" w:cs="Times New Roman" w:eastAsia="Times New Roman" w:hAnsi="Times New Roman"/>
          <w:color w:val="1A6FA8"/>
          <w:sz w:val="24"/>
          <w:szCs w:val="24"/>
        </w:rPr>
        <w:t>MSCA Postdoctoral Fellow</w:t>
      </w:r>
    </w:p>
    <w:p>
      <w:pPr>
        <w:spacing w:after="160"/>
      </w:pPr>
      <w:r>
        <w:rPr>
          <w:rFonts w:ascii="Times New Roman" w:cs="Times New Roman" w:eastAsia="Times New Roman" w:hAnsi="Times New Roman"/>
          <w:sz w:val="22"/>
          <w:szCs w:val="22"/>
        </w:rPr>
        <w:t>University of Vienna, Vienna, Austria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Contact and identifiers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Full name (as in publications)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Murad Abuzerli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Name in Azerbaijani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Murad Abuzərli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Country of residence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Austria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Institutional email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murad.abuzarli@univie.ac.at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Scientific field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Physics (quantum optics)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Profile summary</w:t>
      </w:r>
    </w:p>
    <w:p>
      <w:r>
        <w:rPr>
          <w:rFonts w:ascii="Times New Roman" w:cs="Times New Roman" w:eastAsia="Times New Roman" w:hAnsi="Times New Roman"/>
          <w:sz w:val="21"/>
          <w:szCs w:val="21"/>
        </w:rPr>
        <w:t>Murad Abuzerli is a Marie Skłodowska-Curie Actions postdoctoral fellow at the University of Vienna (2023–2026) on the NEOVITA project, supervised by Prof. Markus Aspelmeyer and Dr. Uroš Delić. He completed a PhD thesis in 2018–2022 at the Kastler Brossel Laboratory in Paris, supervised by Dr. Quentin Glorieux, on out-of-equilibrium dynamics in a paraxial fluid of light. He studied at ESPCI Paris, the Institut d’Optique, Paris-Saclay University, and Sorbonne University. The CV names a list of publications but does not print the references.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Education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4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Years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Degree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Field / thesis title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Institution, city, country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2018–2022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PhD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Thesis: Out of equilibrium dynamics in a paraxial fluid of light; supervisor: Dr. Quentin Glorieux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Kastler Brossel Laboratory, Paris, France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2017–2018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MSc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M2 Laser, Optique, Matière; double diploma of ESPCI Paris and Institut d’Optique (IOGS). Master’s thesis at CEA Saclay: Influence of radiative damping on high-harmonic generation in a plasma mirror excited by an ultra-intense laser: a numeric study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Paris-Saclay University, Palaiseau, France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2014–2017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Ingénieur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Cycle Ingénieur, ESPCI Paris, PSL University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ESPCI Paris, Paris, France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2012–2014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Undergraduate studies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Physics and chemistry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Sorbonne University, Pierre and Marie Curie Campus, Paris, France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2012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Secondary-school certificate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European Lyceum, Baku, Azerbaijan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Academic and professional positions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25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Years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Position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Department / unit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Institution, city, country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2023–2026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MSCA Postdoctoral Fellow, NEOVITA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University of Vienna, Vienna, Austria; supervisors: Prof. Markus Aspelmeyer and Dr. Uroš Delić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2017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Intern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Imaging Physics group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Princeton University, Princeton, United States. Controlling light in a multimode fiber with its transmission matrix. Supervisors: Dr. Hugo Defienne and Dr. Thomas Chaigne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2016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Industrial intern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Robert Bosch Campus, Renningen, Germany. R&amp;D project Hybrid Supercapacitors. Supervisors: Dr. Lars Bommer and Dr. Matthias Widmaier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2014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Intern (1 month)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Functional materials group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Humboldt University of Berlin, Berlin, Germany. Solution and gas-phase synthesis of nanostructured materials. Supervisors: Dr. Matthias Karg and Prof. Nicola Pinna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2011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Workshop intern (1 week)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Hekro-Werkzeugbau AG, Ermke, Germany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Grants and research projects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038"/>
        <w:gridCol w:w="2400"/>
        <w:gridCol w:w="19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Years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Project title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Funding body</w:t>
            </w:r>
          </w:p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Your role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2023–2026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NEOVITA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Marie Skłodowska-Curie Actions</w:t>
            </w:r>
          </w:p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Postdoctoral fellow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Awards, honors and fellowships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038"/>
        <w:gridCol w:w="33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Year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Award / honor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Awarding body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2020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Best poster award, Quantum Technologies school (QuTech2020)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Sochi, Russia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Teaching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038"/>
        <w:gridCol w:w="1700"/>
        <w:gridCol w:w="26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Years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Course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Level</w:t>
            </w:r>
          </w:p>
        </w:tc>
        <w:tc>
          <w:tcPr>
            <w:tcW w:type="dxa" w:w="26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Institution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2020–2021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Wave physics (acoustics and optics); electromagnetism; mechanics of solid systems. 128 hours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Undergraduate laboratory and seminars</w:t>
            </w:r>
          </w:p>
        </w:tc>
        <w:tc>
          <w:tcPr>
            <w:tcW w:type="dxa" w:w="26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Sorbonne University, Paris, France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Languages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838"/>
      </w:tblGrid>
      <w:tr>
        <w:trPr>
          <w:cantSplit/>
          <w:tblHeader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Language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Level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Azerbaijani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Native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Russian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Second native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English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Fluent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German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Fluent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French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Fluent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Turkish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Intermediate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Page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 of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>Abuzerli, Murad – Curriculum Vitae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1A6FA8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Academic CV template</dc:title>
  <dc:creator>DAAB/WAAS</dc:creator>
  <cp:lastModifiedBy>Un-named</cp:lastModifiedBy>
  <cp:revision>1</cp:revision>
  <dcterms:created xsi:type="dcterms:W3CDTF">2026-10-10T07:25:17.601Z</dcterms:created>
  <dcterms:modified xsi:type="dcterms:W3CDTF">2026-10-10T07:25:17.607Z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