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left"/>
      </w:pPr>
      <w:r>
        <w:rPr>
          <w:rFonts w:ascii="Times New Roman" w:cs="Times New Roman" w:eastAsia="Times New Roman" w:hAnsi="Times New Roman"/>
          <w:b/>
          <w:bCs/>
          <w:color w:val="1A6FA8"/>
          <w:sz w:val="20"/>
          <w:szCs w:val="20"/>
        </w:rPr>
        <w:t>CURRICULUM VITAE</w:t>
      </w:r>
    </w:p>
    <w:p>
      <w:pPr>
        <w:spacing w:after="40"/>
      </w:pPr>
      <w:r>
        <w:rPr>
          <w:rFonts w:ascii="Times New Roman" w:cs="Times New Roman" w:eastAsia="Times New Roman" w:hAnsi="Times New Roman"/>
          <w:b/>
          <w:bCs/>
          <w:sz w:val="40"/>
          <w:szCs w:val="40"/>
        </w:rPr>
        <w:t>Aladdin Allahverdiyev, Dr.</w:t>
      </w:r>
    </w:p>
    <w:p>
      <w:pPr>
        <w:spacing w:after="40"/>
      </w:pPr>
      <w:r>
        <w:rPr>
          <w:rFonts w:ascii="Times New Roman" w:cs="Times New Roman" w:eastAsia="Times New Roman" w:hAnsi="Times New Roman"/>
          <w:color w:val="1A6FA8"/>
          <w:sz w:val="24"/>
          <w:szCs w:val="24"/>
        </w:rPr>
        <w:t>Professor</w:t>
      </w:r>
    </w:p>
    <w:p>
      <w:pPr>
        <w:spacing w:after="160"/>
      </w:pPr>
      <w:r>
        <w:rPr>
          <w:rFonts w:ascii="Times New Roman" w:cs="Times New Roman" w:eastAsia="Times New Roman" w:hAnsi="Times New Roman"/>
          <w:sz w:val="22"/>
          <w:szCs w:val="22"/>
        </w:rPr>
        <w:t>National Research University MIET, Russian Federation</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Contact and identifiers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Full name (as in publications)</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Aladdin Allahverdiyev</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Name in Azerbaijani</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Ələddin Allahverdiyev</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Country of residence</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Russian Federation</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Scientific field</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Applied mathematics, physics, and mechanics</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Profile summary</w:t>
      </w:r>
    </w:p>
    <w:p>
      <w:r>
        <w:rPr>
          <w:rFonts w:ascii="Times New Roman" w:cs="Times New Roman" w:eastAsia="Times New Roman" w:hAnsi="Times New Roman"/>
          <w:sz w:val="21"/>
          <w:szCs w:val="21"/>
        </w:rPr>
        <w:t>Aladdin Allahverdiyev is described as a professor and doctor. The CV lists him as a department head at the Fonon Research Institute of the USSR Ministry of the Electronics Industry; as professor, department head, dean, vice-rector, and first vice-rector at the Moscow State Academy of Business Administration; and as professor, head of education-quality, and deputy vice-rector at National Research University MIET. He is a graduate of the Faculty of Mechanics and Mathematics of Lomonosov Moscow State University and of its postgraduate program. The CV states more than 450 works, inventions, monographs, and textbooks, supervision of 7 candidates of sciences, and more than 60 talks, including 12 invited plenary lectures.</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Education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34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Degree</w:t>
            </w:r>
          </w:p>
        </w:tc>
        <w:tc>
          <w:tcPr>
            <w:tcW w:type="dxa" w:w="34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Field / thesis title</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University degree and postgraduate study</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Mechanics and mathematics</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Lomonosov Moscow State University, Moscow, Russian Federation</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Academic and professional positions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2400"/>
        <w:gridCol w:w="25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2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Position</w:t>
            </w:r>
          </w:p>
        </w:tc>
        <w:tc>
          <w:tcPr>
            <w:tcW w:type="dxa" w:w="25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Department / unit</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Professor; head of the education-quality area; deputy vice-rector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National Research University MIET, Russian Federation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Professor; head of department; dean; vice-rector; first vice-rector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Moscow State Academy of Business Administration, Moscow, Russian Federation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Head of department</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Fonon Research Institute, USSR Ministry of the Electronics Industry</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Research metrics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2638"/>
        <w:gridCol w:w="2200"/>
      </w:tblGrid>
      <w:tr>
        <w:trPr>
          <w:cantSplit/>
          <w:tblHeader/>
        </w:trPr>
        <w:tc>
          <w:tcPr>
            <w:tcW w:type="dxa" w:w="30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Indicator</w:t>
            </w:r>
          </w:p>
        </w:tc>
        <w:tc>
          <w:tcPr>
            <w:tcW w:type="dxa" w:w="18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Value</w:t>
            </w:r>
          </w:p>
        </w:tc>
        <w:tc>
          <w:tcPr>
            <w:tcW w:type="dxa" w:w="26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Source</w:t>
            </w:r>
          </w:p>
        </w:tc>
        <w:tc>
          <w:tcPr>
            <w:tcW w:type="dxa" w:w="22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Date checked</w:t>
            </w:r>
          </w:p>
        </w:tc>
      </w:tr>
      <w:tr>
        <w:trPr>
          <w:cantSplit/>
        </w:trPr>
        <w:tc>
          <w:tcPr>
            <w:tcW w:type="dxa" w:w="3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Works, inventions, monographs, textbooks, and articles</w:t>
            </w:r>
          </w:p>
        </w:tc>
        <w:tc>
          <w:tcPr>
            <w:tcW w:type="dxa" w:w="1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More than 450</w:t>
            </w:r>
          </w:p>
        </w:tc>
        <w:tc>
          <w:tcPr>
            <w:tcW w:type="dxa" w:w="26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CV</w:t>
            </w:r>
          </w:p>
        </w:tc>
        <w:tc>
          <w:tcPr>
            <w:tcW w:type="dxa" w:w="22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3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Talks at 30 congresses, conferences, and symposia, including 12 invited plenary lectures</w:t>
            </w:r>
          </w:p>
        </w:tc>
        <w:tc>
          <w:tcPr>
            <w:tcW w:type="dxa" w:w="1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More than 60</w:t>
            </w:r>
          </w:p>
        </w:tc>
        <w:tc>
          <w:tcPr>
            <w:tcW w:type="dxa" w:w="26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CV</w:t>
            </w:r>
          </w:p>
        </w:tc>
        <w:tc>
          <w:tcPr>
            <w:tcW w:type="dxa" w:w="22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Grants and research projects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4038"/>
        <w:gridCol w:w="2400"/>
        <w:gridCol w:w="19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4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Project title</w:t>
            </w:r>
          </w:p>
        </w:tc>
        <w:tc>
          <w:tcPr>
            <w:tcW w:type="dxa" w:w="2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Funding body</w:t>
            </w:r>
          </w:p>
        </w:tc>
        <w:tc>
          <w:tcPr>
            <w:tcW w:type="dxa" w:w="19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Your role</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2001–2004</w:t>
            </w: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Moscow Grant, four consecutive years</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Government of Moscow</w:t>
            </w:r>
          </w:p>
        </w:tc>
        <w:tc>
          <w:tcPr>
            <w:tcW w:type="dxa" w:w="19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Laureate</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Awards, honors and fellowships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038"/>
        <w:gridCol w:w="33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w:t>
            </w:r>
          </w:p>
        </w:tc>
        <w:tc>
          <w:tcPr>
            <w:tcW w:type="dxa" w:w="5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Award / honor</w:t>
            </w:r>
          </w:p>
        </w:tc>
        <w:tc>
          <w:tcPr>
            <w:tcW w:type="dxa" w:w="3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Awarding body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Medal named after Georgy Tyulin</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Russian Federation of Cosmonautics</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Medal named after Khalil Rakhmatulin</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National Committee for Theoretical and Applied Mechanics, Russian Academy of Sciences</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Honorary Worker of Higher Professional Education of the Russian Federation</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Gold medal</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All-Russian Exhibition Center</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Supervision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cantSplit/>
          <w:tblHeader/>
        </w:trPr>
        <w:tc>
          <w:tcPr>
            <w:tcW w:type="dxa" w:w="28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Level</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Number</w:t>
            </w:r>
          </w:p>
        </w:tc>
        <w:tc>
          <w:tcPr>
            <w:tcW w:type="dxa" w:w="53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Notes</w:t>
            </w:r>
          </w:p>
        </w:tc>
      </w:tr>
      <w:tr>
        <w:trPr>
          <w:cantSplit/>
        </w:trPr>
        <w:tc>
          <w:tcPr>
            <w:tcW w:type="dxa" w:w="2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Candidates of sciences</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7</w:t>
            </w:r>
          </w:p>
        </w:tc>
        <w:tc>
          <w:tcPr>
            <w:tcW w:type="dxa" w:w="53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Including 3 from Azerbaijan</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A7A7A"/>
        <w:sz w:val="18"/>
        <w:szCs w:val="18"/>
      </w:rPr>
      <w:t xml:space="preserve">Page </w:t>
    </w:r>
    <w:r>
      <w:rPr>
        <w:rFonts w:ascii="Times New Roman" w:cs="Times New Roman" w:eastAsia="Times New Roman" w:hAnsi="Times New Roman"/>
        <w:color w:val="7A7A7A"/>
        <w:sz w:val="18"/>
        <w:szCs w:val="18"/>
      </w:rPr>
      <w:fldChar w:fldCharType="begin"/>
      <w:instrText xml:space="preserve">PAGE</w:instrText>
      <w:fldChar w:fldCharType="separate"/>
      <w:fldChar w:fldCharType="end"/>
    </w:r>
    <w:r>
      <w:rPr>
        <w:rFonts w:ascii="Times New Roman" w:cs="Times New Roman" w:eastAsia="Times New Roman" w:hAnsi="Times New Roman"/>
        <w:color w:val="7A7A7A"/>
        <w:sz w:val="18"/>
        <w:szCs w:val="18"/>
      </w:rPr>
      <w:t xml:space="preserve"> of </w:t>
    </w:r>
    <w:r>
      <w:rPr>
        <w:rFonts w:ascii="Times New Roman" w:cs="Times New Roman" w:eastAsia="Times New Roman" w:hAnsi="Times New Roman"/>
        <w:color w:val="7A7A7A"/>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7A7A7A"/>
        <w:sz w:val="18"/>
        <w:szCs w:val="18"/>
      </w:rPr>
      <w:t>Allahverdiyev, Aladdin – Curriculum Vitae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1A6FA8"/>
      <w:sz w:val="26"/>
      <w:szCs w:val="26"/>
    </w:rPr>
  </w:style>
  <w:style w:type="paragraph" w:styleId="Heading2">
    <w:name w:val="Heading 2"/>
    <w:basedOn w:val="Normal"/>
    <w:next w:val="Normal"/>
    <w:qFormat/>
    <w:pPr>
      <w:outlineLvl w:val="1"/>
    </w:pPr>
    <w:rPr>
      <w:rFonts w:ascii="Times New Roman" w:cs="Times New Roman" w:eastAsia="Times New Roman" w:hAnsi="Times New Roman"/>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Academic CV template</dc:title>
  <dc:creator>DAAB/WAAS</dc:creator>
  <cp:lastModifiedBy>Un-named</cp:lastModifiedBy>
  <cp:revision>1</cp:revision>
  <dcterms:created xsi:type="dcterms:W3CDTF">2026-10-10T07:25:17.601Z</dcterms:created>
  <dcterms:modified xsi:type="dcterms:W3CDTF">2026-10-10T07:25:17.607Z</dcterms:modified>
</cp:coreProperties>
</file>

<file path=docProps/custom.xml><?xml version="1.0" encoding="utf-8"?>
<Properties xmlns="http://schemas.openxmlformats.org/officeDocument/2006/custom-properties" xmlns:vt="http://schemas.openxmlformats.org/officeDocument/2006/docPropsVTypes"/>
</file>