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rFonts w:ascii="Times New Roman" w:cs="Times New Roman" w:eastAsia="Times New Roman" w:hAnsi="Times New Roman"/>
          <w:b/>
          <w:bCs/>
          <w:color w:val="1A6FA8"/>
          <w:sz w:val="20"/>
          <w:szCs w:val="20"/>
        </w:rPr>
        <w:t>CURRICULUM VITAE</w:t>
      </w:r>
    </w:p>
    <w:p>
      <w:pPr>
        <w:spacing w:after="40"/>
      </w:pPr>
      <w:r>
        <w:rPr>
          <w:rFonts w:ascii="Times New Roman" w:cs="Times New Roman" w:eastAsia="Times New Roman" w:hAnsi="Times New Roman"/>
          <w:b/>
          <w:bCs/>
          <w:sz w:val="40"/>
          <w:szCs w:val="40"/>
        </w:rPr>
        <w:t>Yashar Musayev, Dr.-Ing.</w:t>
      </w:r>
    </w:p>
    <w:p>
      <w:pPr>
        <w:spacing w:after="40"/>
      </w:pPr>
      <w:r>
        <w:rPr>
          <w:rFonts w:ascii="Times New Roman" w:cs="Times New Roman" w:eastAsia="Times New Roman" w:hAnsi="Times New Roman"/>
          <w:color w:val="1A6FA8"/>
          <w:sz w:val="24"/>
          <w:szCs w:val="24"/>
        </w:rPr>
        <w:t>Head of Development, New Energy Business</w:t>
      </w:r>
    </w:p>
    <w:p>
      <w:pPr>
        <w:spacing w:after="160"/>
      </w:pPr>
      <w:r>
        <w:rPr>
          <w:rFonts w:ascii="Times New Roman" w:cs="Times New Roman" w:eastAsia="Times New Roman" w:hAnsi="Times New Roman"/>
          <w:sz w:val="22"/>
          <w:szCs w:val="22"/>
        </w:rPr>
        <w:t>Siemens Energy AG, Erlangen and Munich, Germany</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Contact and identifiers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Full name (as in publications)</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Yashar Musayev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Name in Azerbaijani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Yaşar Musayev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Country of residence</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Germany</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Scientific field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Mechanical engineering; surface technology; new energy</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Profile summary</w:t>
      </w:r>
    </w:p>
    <w:p>
      <w:r>
        <w:rPr>
          <w:rFonts w:ascii="Times New Roman" w:cs="Times New Roman" w:eastAsia="Times New Roman" w:hAnsi="Times New Roman"/>
          <w:sz w:val="21"/>
          <w:szCs w:val="21"/>
        </w:rPr>
        <w:t>Yashar Musayev is head of development for new energy business at Siemens Energy AG in Erlangen and Munich, an executive post he has held since May 2020. The work covers green hydrogen, electrolysis, fuel technology, and renewable energy, with about 32 direct reports. He holds a Dr.-Ing. from Friedrich-Alexander University Erlangen-Nuremberg, from doctoral research in 1998–2001, and a Dipl.-Ing. in mechanical engineering technology from the Technical University of Azerbaijan (1984–1991), with distinction. From 2005 to 2020 he worked at Schaeffler AG, including as senior vice president and head of the Competency Center for Surface Technology from 2015 to 2020.</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Education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34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Degree</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Field / thesis title</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September 1998–April 2001</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Dr.-Ing.</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Engineering technology</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Friedrich-Alexander University Erlangen-Nuremberg, Germany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October 1997–October 1998</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DAAD scholarship</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Friedrich-Alexander University Erlangen-Nuremberg, Germany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September 1984–June 1991</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Dipl.-Ing.</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Mechanical engineering technology, with distinction. The period includes mandatory military service in a tank division, June 1985–June 1988</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Technical University of Azerbaijan, Baku, Azerbaijan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2016–2020</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development program for top managers</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Schaeffler. South Korea, the United States, and Germany</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Academic and professional positions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25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Position</w:t>
            </w:r>
          </w:p>
        </w:tc>
        <w:tc>
          <w:tcPr>
            <w:tcW w:type="dxa" w:w="25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Department / unit</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May 2020–present</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Head of Development, New Energy Business, executive (OFK)</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Siemens Energy AG, Erlangen and Munich, Germany. About 32 direct reports. Reporting line: senior vice president</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September 2015–January 2020</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Senior vice president and head of the Competency Center for Surface Technology</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Competency Center for Surface Technology</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Schaeffler AG, Herzogenaurach, Germany. Reporting line: executive board, chief technology officer. 12 direct and 100 indirect reports</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February 2016–December 2018</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Chief executive officer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SIA Schaeffler Baltic, Riga, Latvia. Parallel role. Acquisition of Naco Technologies, Riga, in December 2015</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September 2012–August 2015</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Director of the Coating Center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Competency Center for Surface Technology</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Schaeffler AG, Herzogenaurach, Germany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October 2009–August 2012</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Team lead and expert</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Surface Technology Department</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Schaeffler AG</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December 2005–September 2009</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Project leader, setup of the Coating Center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Schaeffler AG</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December 2001–November 2005</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Head of research and development</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H-O-T Härte- und Oberflächentechnik GmbH &amp; Co. KG, Nuremberg, Germany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April 2000–June 2001</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Research associate</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Department for Design Technology</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Friedrich-Alexander University Erlangen-Nuremberg, Germany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September 1998–March 2000</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Plant manager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Autostern, Baku, Azerbaijan. Joint-venture partner of Daimler AG</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April 1995–June 1997</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Research engineer and assistant</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Department of Mechanical Engineering</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Technical University of Azerbaijan, Baku, Azerbaijan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September 1991–March 1995</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Assistant professor and instructor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Department of Mechanical Engineering</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Technical University of Azerbaijan, Baku, Azerbaijan</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Research metrics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2638"/>
        <w:gridCol w:w="2200"/>
      </w:tblGrid>
      <w:tr>
        <w:trPr>
          <w:cantSplit/>
          <w:tblHeader/>
        </w:trPr>
        <w:tc>
          <w:tcPr>
            <w:tcW w:type="dxa" w:w="30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Indicator</w:t>
            </w:r>
          </w:p>
        </w:tc>
        <w:tc>
          <w:tcPr>
            <w:tcW w:type="dxa" w:w="18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Value</w:t>
            </w:r>
          </w:p>
        </w:tc>
        <w:tc>
          <w:tcPr>
            <w:tcW w:type="dxa" w:w="26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Source</w:t>
            </w:r>
          </w:p>
        </w:tc>
        <w:tc>
          <w:tcPr>
            <w:tcW w:type="dxa" w:w="22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Date checked</w:t>
            </w:r>
          </w:p>
        </w:tc>
      </w:tr>
      <w:tr>
        <w:trPr>
          <w:cantSplit/>
        </w:trPr>
        <w:tc>
          <w:tcPr>
            <w:tcW w:type="dxa" w:w="3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Inventions and patents since 2005</w:t>
            </w:r>
          </w:p>
        </w:tc>
        <w:tc>
          <w:tcPr>
            <w:tcW w:type="dxa" w:w="1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More than 40</w:t>
            </w:r>
          </w:p>
        </w:tc>
        <w:tc>
          <w:tcPr>
            <w:tcW w:type="dxa" w:w="26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CV</w:t>
            </w:r>
          </w:p>
        </w:tc>
        <w:tc>
          <w:tcPr>
            <w:tcW w:type="dxa" w:w="22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3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National and international publications and lectures since 2005</w:t>
            </w:r>
          </w:p>
        </w:tc>
        <w:tc>
          <w:tcPr>
            <w:tcW w:type="dxa" w:w="1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150</w:t>
            </w:r>
          </w:p>
        </w:tc>
        <w:tc>
          <w:tcPr>
            <w:tcW w:type="dxa" w:w="26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CV</w:t>
            </w:r>
          </w:p>
        </w:tc>
        <w:tc>
          <w:tcPr>
            <w:tcW w:type="dxa" w:w="22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Awards, honors and fellowships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038"/>
        <w:gridCol w:w="33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w:t>
            </w:r>
          </w:p>
        </w:tc>
        <w:tc>
          <w:tcPr>
            <w:tcW w:type="dxa" w:w="5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Award / honor</w:t>
            </w:r>
          </w:p>
        </w:tc>
        <w:tc>
          <w:tcPr>
            <w:tcW w:type="dxa" w:w="3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Awarding body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November 2017</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Best Innovation and Export Award</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Latvian state</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2017</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Customer Supplier Award</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 global Japanese OEM</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2016 and 2014</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Materialica Design + Technology Best Award, thin-film sensors Sensotect</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Munich</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2006</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Customer Innovation Award for engine components</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 global Japanese OEM</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Languages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4838"/>
      </w:tblGrid>
      <w:tr>
        <w:trPr>
          <w:cantSplit/>
          <w:tblHeader/>
        </w:trPr>
        <w:tc>
          <w:tcPr>
            <w:tcW w:type="dxa" w:w="48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Language</w:t>
            </w:r>
          </w:p>
        </w:tc>
        <w:tc>
          <w:tcPr>
            <w:tcW w:type="dxa" w:w="48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Level</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Azerbaijani</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Native</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German</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Fluent</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English</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Fluent</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Russian</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Fluent</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Turkish</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Conversational</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A7A"/>
        <w:sz w:val="18"/>
        <w:szCs w:val="18"/>
      </w:rPr>
      <w:t xml:space="preserve">Page </w:t>
    </w:r>
    <w:r>
      <w:rPr>
        <w:rFonts w:ascii="Times New Roman" w:cs="Times New Roman" w:eastAsia="Times New Roman" w:hAnsi="Times New Roman"/>
        <w:color w:val="7A7A7A"/>
        <w:sz w:val="18"/>
        <w:szCs w:val="18"/>
      </w:rPr>
      <w:fldChar w:fldCharType="begin"/>
      <w:instrText xml:space="preserve">PAGE</w:instrText>
      <w:fldChar w:fldCharType="separate"/>
      <w:fldChar w:fldCharType="end"/>
    </w:r>
    <w:r>
      <w:rPr>
        <w:rFonts w:ascii="Times New Roman" w:cs="Times New Roman" w:eastAsia="Times New Roman" w:hAnsi="Times New Roman"/>
        <w:color w:val="7A7A7A"/>
        <w:sz w:val="18"/>
        <w:szCs w:val="18"/>
      </w:rPr>
      <w:t xml:space="preserve"> of </w:t>
    </w:r>
    <w:r>
      <w:rPr>
        <w:rFonts w:ascii="Times New Roman" w:cs="Times New Roman" w:eastAsia="Times New Roman" w:hAnsi="Times New Roman"/>
        <w:color w:val="7A7A7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A7A7A"/>
        <w:sz w:val="18"/>
        <w:szCs w:val="18"/>
      </w:rPr>
      <w:t>Musayev, Yashar – Curriculum Vitae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A6FA8"/>
      <w:sz w:val="26"/>
      <w:szCs w:val="26"/>
    </w:rPr>
  </w:style>
  <w:style w:type="paragraph" w:styleId="Heading2">
    <w:name w:val="Heading 2"/>
    <w:basedOn w:val="Normal"/>
    <w:next w:val="Normal"/>
    <w:qFormat/>
    <w:pPr>
      <w:outlineLvl w:val="1"/>
    </w:pPr>
    <w:rPr>
      <w:rFonts w:ascii="Times New Roman" w:cs="Times New Roman" w:eastAsia="Times New Roman" w:hAnsi="Times New Roman"/>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Academic CV template</dc:title>
  <dc:creator>DAAB/WAAS</dc:creator>
  <cp:lastModifiedBy>Un-named</cp:lastModifiedBy>
  <cp:revision>1</cp:revision>
  <dcterms:created xsi:type="dcterms:W3CDTF">2026-10-10T07:25:17.601Z</dcterms:created>
  <dcterms:modified xsi:type="dcterms:W3CDTF">2026-10-10T07:25:17.607Z</dcterms:modified>
</cp:coreProperties>
</file>

<file path=docProps/custom.xml><?xml version="1.0" encoding="utf-8"?>
<Properties xmlns="http://schemas.openxmlformats.org/officeDocument/2006/custom-properties" xmlns:vt="http://schemas.openxmlformats.org/officeDocument/2006/docPropsVTypes"/>
</file>