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Times New Roman" w:cs="Times New Roman" w:eastAsia="Times New Roman" w:hAnsi="Times New Roman"/>
          <w:b/>
          <w:bCs/>
          <w:color w:val="1A6FA8"/>
          <w:sz w:val="20"/>
          <w:szCs w:val="20"/>
        </w:rPr>
        <w:t>CURRICULUM VITAE</w:t>
      </w:r>
    </w:p>
    <w:p>
      <w:pPr>
        <w:spacing w:after="40"/>
      </w:pPr>
      <w:r>
        <w:rPr>
          <w:rFonts w:ascii="Times New Roman" w:cs="Times New Roman" w:eastAsia="Times New Roman" w:hAnsi="Times New Roman"/>
          <w:b/>
          <w:bCs/>
          <w:sz w:val="40"/>
          <w:szCs w:val="40"/>
        </w:rPr>
        <w:t>Mirza Mutallimov, Dr. med.</w:t>
      </w:r>
    </w:p>
    <w:p>
      <w:pPr>
        <w:spacing w:after="40"/>
      </w:pPr>
      <w:r>
        <w:rPr>
          <w:rFonts w:ascii="Times New Roman" w:cs="Times New Roman" w:eastAsia="Times New Roman" w:hAnsi="Times New Roman"/>
          <w:color w:val="1A6FA8"/>
          <w:sz w:val="24"/>
          <w:szCs w:val="24"/>
        </w:rPr>
        <w:t>Specialist physician and Associate Professor</w:t>
      </w:r>
    </w:p>
    <w:p>
      <w:pPr>
        <w:spacing w:after="160"/>
      </w:pPr>
      <w:r>
        <w:rPr>
          <w:rFonts w:ascii="Times New Roman" w:cs="Times New Roman" w:eastAsia="Times New Roman" w:hAnsi="Times New Roman"/>
          <w:sz w:val="22"/>
          <w:szCs w:val="22"/>
        </w:rPr>
        <w:t>Department of Internal Medicine and Cardiology, Saarland University Hospital, Germany</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Contact and identifiers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Full name (as in publications)</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Mirza Mutallimov</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Name in Azerbaijani</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Mirzə Mütəllimov</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Country of residence</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Germany</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Scientific field</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Medicine (cardiology)</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Profile summary</w:t>
      </w:r>
    </w:p>
    <w:p>
      <w:r>
        <w:rPr>
          <w:rFonts w:ascii="Times New Roman" w:cs="Times New Roman" w:eastAsia="Times New Roman" w:hAnsi="Times New Roman"/>
          <w:sz w:val="21"/>
          <w:szCs w:val="21"/>
        </w:rPr>
        <w:t>Mirza Mutallimov is a specialist physician and associate professor in internal medicine and cardiology at Saarland University Hospital, and, since June 2019, head of department for internal medicine, cardiology, and rhythmology at Klinikum Idar-Oberstein, a teaching hospital of the University of Mainz. He trained in medicine in Baku from 2004 to 2011 and received German medical licensure (Approbation) in 2013. He was a doctoral student at the University of Cologne from December 2019 to March 2024; the dissertation, on the ECG in the diagnosis of diastolic heart failure, is dated 2024. He holds specialist recognition in internal medicine and cardiology, invasive electrophysiology, heart failure, and interventional cardiology.</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Education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34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15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Degree</w:t>
            </w:r>
          </w:p>
        </w:tc>
        <w:tc>
          <w:tcPr>
            <w:tcW w:type="dxa" w:w="34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Field / thesis title</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 city, country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December 2019–March 2024</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Dr. med.</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Stellenwert des EKGs in der Diagnostik der diastolischen Herzinsuffizienz. Universität zu Köln, 2024. https://kups.ub.uni-koeln.de/72620/</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University of Cologne, Cologne, Germany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2022–present</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Master’s degree</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Healthcare management</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University of Erlangen-Nuremberg, Germany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2024</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Specialist</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Interventional cardiology</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2024</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Specialist</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Heart failure</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2020</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Specialist</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Invasive electrophysiology and active cardiac rhythm-device implants</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2019</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Specialist</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Internal medicine and cardiology</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2013</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Approbation</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Medical licensure in Germany</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2004–2011</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Medical degree and internship</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Azerbaijan International University and Azerbaijan Medical University, Baku, Azerbaijan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September 1993–July 2004</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Secondary-school certificate</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Physics, mathematics, and informatics</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Republic lyceum, Azerbaijan</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Academic and professional positions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25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2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Position</w:t>
            </w:r>
          </w:p>
        </w:tc>
        <w:tc>
          <w:tcPr>
            <w:tcW w:type="dxa" w:w="25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Department / unit</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 city, country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 September 2022–present</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Specialist physician and Associate Professor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Internal medicine and cardiology</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Saarland University Hospital, Germany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 June 2019–present</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Head of department; specialist in internal medicine, cardiology, and rhythmology</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Cardiology and pulmonology</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Klinikum Idar-Oberstein, teaching hospital of the University of Mainz, Germany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September 2016–June 2019</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Resident physician</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Invasive cardiology, electrophysiology, and rhythmology</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Klinikum Gütersloh, teaching hospital of the University of Münster, Germany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June 2012–July 2016</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Resident physician</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Cardiology, nephrology, and diabetology</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Bielefeld Bethel Hospital, University Hospital of Bielefeld, Germany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August 2011–May 2012</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Cardiologist</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Cardiology and electrophysiology</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Central Clinical Hospital, Baku, Azerbaijan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August 2007–May 2010</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Mid-level medical worker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Intensive cardiology</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Research Institute of Cardiology, Baku, Azerbaijan</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Publications</w:t>
      </w:r>
    </w:p>
    <w:p>
      <w:pPr>
        <w:pStyle w:val="Heading2"/>
        <w:keepNext/>
        <w:spacing w:after="60" w:before="160"/>
        <w:keepLines/>
      </w:pPr>
      <w:r>
        <w:rPr>
          <w:rFonts w:ascii="Times New Roman" w:cs="Times New Roman" w:eastAsia="Times New Roman" w:hAnsi="Times New Roman"/>
          <w:b/>
          <w:bCs/>
          <w:sz w:val="22"/>
          <w:szCs w:val="22"/>
        </w:rPr>
        <w:t>Peer-reviewed journal articles</w:t>
      </w:r>
    </w:p>
    <w:p>
      <w:pPr>
        <w:spacing w:after="8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sz w:val="21"/>
          <w:szCs w:val="21"/>
        </w:rPr>
        <w:t>Mutallimov</w:t>
      </w:r>
      <w:r>
        <w:rPr>
          <w:rFonts w:ascii="Times New Roman" w:cs="Times New Roman" w:eastAsia="Times New Roman" w:hAnsi="Times New Roman"/>
          <w:sz w:val="21"/>
          <w:szCs w:val="21"/>
        </w:rPr>
        <w:t>, M.; Guliyeva, S.; Gassanov, N. The role of cardiac contractility modulation in the management of ischemic cardiomyopathy. Azerbaijan Journal of Cardiology, 2022, 1(21), 44–49.</w:t>
      </w:r>
    </w:p>
    <w:p>
      <w:pPr>
        <w:spacing w:after="80"/>
      </w:pPr>
      <w:r>
        <w:rPr>
          <w:rFonts w:ascii="Times New Roman" w:cs="Times New Roman" w:eastAsia="Times New Roman" w:hAnsi="Times New Roman"/>
          <w:sz w:val="21"/>
          <w:szCs w:val="21"/>
        </w:rPr>
        <w:t xml:space="preserve">2. </w:t>
      </w:r>
      <w:r>
        <w:rPr>
          <w:rFonts w:ascii="Times New Roman" w:cs="Times New Roman" w:eastAsia="Times New Roman" w:hAnsi="Times New Roman"/>
          <w:b/>
          <w:bCs/>
          <w:sz w:val="21"/>
          <w:szCs w:val="21"/>
        </w:rPr>
        <w:t>Mutallimov</w:t>
      </w:r>
      <w:r>
        <w:rPr>
          <w:rFonts w:ascii="Times New Roman" w:cs="Times New Roman" w:eastAsia="Times New Roman" w:hAnsi="Times New Roman"/>
          <w:sz w:val="21"/>
          <w:szCs w:val="21"/>
        </w:rPr>
        <w:t>, M.; Er, F.; Gassanov, N. Device fracture as a potential complication of a left ventricular microaxial pump catheter: a case report. European Heart Journal Case Reports, 2022, 6(8), ytac335. https://doi.org/10.1093/ehjcr/ytac335. PMID 36004047.</w:t>
      </w:r>
    </w:p>
    <w:p>
      <w:pPr>
        <w:spacing w:after="80"/>
      </w:pPr>
      <w:r>
        <w:rPr>
          <w:rFonts w:ascii="Times New Roman" w:cs="Times New Roman" w:eastAsia="Times New Roman" w:hAnsi="Times New Roman"/>
          <w:sz w:val="21"/>
          <w:szCs w:val="21"/>
        </w:rPr>
        <w:t xml:space="preserve">3. Gassanov, N.; </w:t>
      </w:r>
      <w:r>
        <w:rPr>
          <w:rFonts w:ascii="Times New Roman" w:cs="Times New Roman" w:eastAsia="Times New Roman" w:hAnsi="Times New Roman"/>
          <w:b/>
          <w:bCs/>
          <w:sz w:val="21"/>
          <w:szCs w:val="21"/>
        </w:rPr>
        <w:t>Mutallimov</w:t>
      </w:r>
      <w:r>
        <w:rPr>
          <w:rFonts w:ascii="Times New Roman" w:cs="Times New Roman" w:eastAsia="Times New Roman" w:hAnsi="Times New Roman"/>
          <w:sz w:val="21"/>
          <w:szCs w:val="21"/>
        </w:rPr>
        <w:t>, M.; Caglayan, E.; Erdmann, E.; Er, F. ECG as a risk stratification tool in patients with wearable cardioverter-defibrillator. Journal of Cardiology, 2022, 80(6), 573–577. https://doi.org/10.1016/j.jjcc.2022.08.001.</w:t>
      </w:r>
    </w:p>
    <w:p>
      <w:pPr>
        <w:spacing w:after="80"/>
      </w:pPr>
      <w:r>
        <w:rPr>
          <w:rFonts w:ascii="Times New Roman" w:cs="Times New Roman" w:eastAsia="Times New Roman" w:hAnsi="Times New Roman"/>
          <w:sz w:val="21"/>
          <w:szCs w:val="21"/>
        </w:rPr>
        <w:t xml:space="preserve">4. Gassanov, N.; Raghavan, M.; </w:t>
      </w:r>
      <w:r>
        <w:rPr>
          <w:rFonts w:ascii="Times New Roman" w:cs="Times New Roman" w:eastAsia="Times New Roman" w:hAnsi="Times New Roman"/>
          <w:b/>
          <w:bCs/>
          <w:sz w:val="21"/>
          <w:szCs w:val="21"/>
        </w:rPr>
        <w:t>Mutallimov</w:t>
      </w:r>
      <w:r>
        <w:rPr>
          <w:rFonts w:ascii="Times New Roman" w:cs="Times New Roman" w:eastAsia="Times New Roman" w:hAnsi="Times New Roman"/>
          <w:sz w:val="21"/>
          <w:szCs w:val="21"/>
        </w:rPr>
        <w:t>, M.; Zagidullin, N.; Er, F. Diabetic cardiomyopathy: pathogenesis and clinical implications. The Cardiologist, 2017, 1, 10–19.</w:t>
      </w:r>
    </w:p>
    <w:p>
      <w:pPr>
        <w:pStyle w:val="Heading2"/>
        <w:keepNext/>
        <w:spacing w:after="60" w:before="160"/>
        <w:keepLines/>
      </w:pPr>
      <w:r>
        <w:rPr>
          <w:rFonts w:ascii="Times New Roman" w:cs="Times New Roman" w:eastAsia="Times New Roman" w:hAnsi="Times New Roman"/>
          <w:b/>
          <w:bCs/>
          <w:sz w:val="22"/>
          <w:szCs w:val="22"/>
        </w:rPr>
        <w:t>Conference papers and abstracts</w:t>
      </w:r>
    </w:p>
    <w:p>
      <w:pPr>
        <w:spacing w:after="8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sz w:val="21"/>
          <w:szCs w:val="21"/>
        </w:rPr>
        <w:t>Mutallimov</w:t>
      </w:r>
      <w:r>
        <w:rPr>
          <w:rFonts w:ascii="Times New Roman" w:cs="Times New Roman" w:eastAsia="Times New Roman" w:hAnsi="Times New Roman"/>
          <w:sz w:val="21"/>
          <w:szCs w:val="21"/>
        </w:rPr>
        <w:t>, M.; Kalyani, M.; Ekosso Ejangue, L.; Deelawar, S.; Manegold, J. C.; Lamp, B.; Israel, C. W. Woran versterben Patienten mit Herzinsuffizienz und kardialer Resynchronisationtherapie (CRT)? 81. Jahrestagung der Deutschen Gesellschaft für Kardiologie, Mannheim, 2015. Vortrag V1230.</w:t>
      </w:r>
    </w:p>
    <w:p>
      <w:pPr>
        <w:spacing w:after="80"/>
      </w:pPr>
      <w:r>
        <w:rPr>
          <w:rFonts w:ascii="Times New Roman" w:cs="Times New Roman" w:eastAsia="Times New Roman" w:hAnsi="Times New Roman"/>
          <w:sz w:val="21"/>
          <w:szCs w:val="21"/>
        </w:rPr>
        <w:t xml:space="preserve">2. Linzbach, S. P.; </w:t>
      </w:r>
      <w:r>
        <w:rPr>
          <w:rFonts w:ascii="Times New Roman" w:cs="Times New Roman" w:eastAsia="Times New Roman" w:hAnsi="Times New Roman"/>
          <w:b/>
          <w:bCs/>
          <w:sz w:val="21"/>
          <w:szCs w:val="21"/>
        </w:rPr>
        <w:t>Mutallimov</w:t>
      </w:r>
      <w:r>
        <w:rPr>
          <w:rFonts w:ascii="Times New Roman" w:cs="Times New Roman" w:eastAsia="Times New Roman" w:hAnsi="Times New Roman"/>
          <w:sz w:val="21"/>
          <w:szCs w:val="21"/>
        </w:rPr>
        <w:t>, M.; Deelawar, S.; Kalyani, M.; Ekosso Ejangue, L.; Mirzazadeh, M.; Steidl, A.; Hohnloser, S.; Israel, C. W. Cause-specific mortality in patients undergoing CRT-D therapy in daily clinical practice: long-term follow-up of 392 consecutive patients. Heart Rhythm, 2014, 11(5), May supplement, S400, PO04-180. Heart Rhythm 2014, San Francisco.</w:t>
      </w:r>
    </w:p>
    <w:p>
      <w:pPr>
        <w:spacing w:after="80"/>
      </w:pPr>
      <w:r>
        <w:rPr>
          <w:rFonts w:ascii="Times New Roman" w:cs="Times New Roman" w:eastAsia="Times New Roman" w:hAnsi="Times New Roman"/>
          <w:sz w:val="21"/>
          <w:szCs w:val="21"/>
        </w:rPr>
        <w:t xml:space="preserve">3. Linzbach, S. P.; </w:t>
      </w:r>
      <w:r>
        <w:rPr>
          <w:rFonts w:ascii="Times New Roman" w:cs="Times New Roman" w:eastAsia="Times New Roman" w:hAnsi="Times New Roman"/>
          <w:b/>
          <w:bCs/>
          <w:sz w:val="21"/>
          <w:szCs w:val="21"/>
        </w:rPr>
        <w:t>Mutallimov</w:t>
      </w:r>
      <w:r>
        <w:rPr>
          <w:rFonts w:ascii="Times New Roman" w:cs="Times New Roman" w:eastAsia="Times New Roman" w:hAnsi="Times New Roman"/>
          <w:sz w:val="21"/>
          <w:szCs w:val="21"/>
        </w:rPr>
        <w:t>, M.; Deelawar, S.; Kalyani, M.; Ekosso Ejangue, L.; Mirzazadeh, M.; Steidl, A.; Hohnloser, S.; Israel, C. W. De-novo versus upgrade cardiac resynchronization therapy: results from a prospective observational study. ESC Congress, Barcelona, 2014. Poster FP 564.</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Languages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00"/>
        <w:gridCol w:w="4838"/>
      </w:tblGrid>
      <w:tr>
        <w:trPr>
          <w:cantSplit/>
          <w:tblHeader/>
        </w:trPr>
        <w:tc>
          <w:tcPr>
            <w:tcW w:type="dxa" w:w="48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Language</w:t>
            </w:r>
          </w:p>
        </w:tc>
        <w:tc>
          <w:tcPr>
            <w:tcW w:type="dxa" w:w="48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Level</w:t>
            </w:r>
          </w:p>
        </w:tc>
      </w:tr>
      <w:tr>
        <w:trPr>
          <w:cantSplit/>
        </w:trPr>
        <w:tc>
          <w:tcPr>
            <w:tcW w:type="dxa" w:w="4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Azerbaijani</w:t>
            </w:r>
          </w:p>
        </w:tc>
        <w:tc>
          <w:tcPr>
            <w:tcW w:type="dxa" w:w="48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Native</w:t>
            </w:r>
          </w:p>
        </w:tc>
      </w:tr>
      <w:tr>
        <w:trPr>
          <w:cantSplit/>
        </w:trPr>
        <w:tc>
          <w:tcPr>
            <w:tcW w:type="dxa" w:w="4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German</w:t>
            </w:r>
          </w:p>
        </w:tc>
        <w:tc>
          <w:tcPr>
            <w:tcW w:type="dxa" w:w="48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r>
        <w:trPr>
          <w:cantSplit/>
        </w:trPr>
        <w:tc>
          <w:tcPr>
            <w:tcW w:type="dxa" w:w="4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Turkish</w:t>
            </w:r>
          </w:p>
        </w:tc>
        <w:tc>
          <w:tcPr>
            <w:tcW w:type="dxa" w:w="48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r>
        <w:trPr>
          <w:cantSplit/>
        </w:trPr>
        <w:tc>
          <w:tcPr>
            <w:tcW w:type="dxa" w:w="4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Russian</w:t>
            </w:r>
          </w:p>
        </w:tc>
        <w:tc>
          <w:tcPr>
            <w:tcW w:type="dxa" w:w="48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r>
        <w:trPr>
          <w:cantSplit/>
        </w:trPr>
        <w:tc>
          <w:tcPr>
            <w:tcW w:type="dxa" w:w="4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English</w:t>
            </w:r>
          </w:p>
        </w:tc>
        <w:tc>
          <w:tcPr>
            <w:tcW w:type="dxa" w:w="48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A7A7A"/>
        <w:sz w:val="18"/>
        <w:szCs w:val="18"/>
      </w:rPr>
      <w:t xml:space="preserve">Page </w:t>
    </w:r>
    <w:r>
      <w:rPr>
        <w:rFonts w:ascii="Times New Roman" w:cs="Times New Roman" w:eastAsia="Times New Roman" w:hAnsi="Times New Roman"/>
        <w:color w:val="7A7A7A"/>
        <w:sz w:val="18"/>
        <w:szCs w:val="18"/>
      </w:rPr>
      <w:fldChar w:fldCharType="begin"/>
      <w:instrText xml:space="preserve">PAGE</w:instrText>
      <w:fldChar w:fldCharType="separate"/>
      <w:fldChar w:fldCharType="end"/>
    </w:r>
    <w:r>
      <w:rPr>
        <w:rFonts w:ascii="Times New Roman" w:cs="Times New Roman" w:eastAsia="Times New Roman" w:hAnsi="Times New Roman"/>
        <w:color w:val="7A7A7A"/>
        <w:sz w:val="18"/>
        <w:szCs w:val="18"/>
      </w:rPr>
      <w:t xml:space="preserve"> of </w:t>
    </w:r>
    <w:r>
      <w:rPr>
        <w:rFonts w:ascii="Times New Roman" w:cs="Times New Roman" w:eastAsia="Times New Roman" w:hAnsi="Times New Roman"/>
        <w:color w:val="7A7A7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7A7A7A"/>
        <w:sz w:val="18"/>
        <w:szCs w:val="18"/>
      </w:rPr>
      <w:t>Mutallimov, Mirza – Curriculum Vitae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1A6FA8"/>
      <w:sz w:val="26"/>
      <w:szCs w:val="26"/>
    </w:rPr>
  </w:style>
  <w:style w:type="paragraph" w:styleId="Heading2">
    <w:name w:val="Heading 2"/>
    <w:basedOn w:val="Normal"/>
    <w:next w:val="Normal"/>
    <w:qFormat/>
    <w:pPr>
      <w:outlineLvl w:val="1"/>
    </w:pPr>
    <w:rPr>
      <w:rFonts w:ascii="Times New Roman" w:cs="Times New Roman" w:eastAsia="Times New Roman" w:hAnsi="Times New Roman"/>
      <w:b/>
      <w:bCs/>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Academic CV template</dc:title>
  <dc:creator>DAAB/WAAS</dc:creator>
  <cp:lastModifiedBy>Un-named</cp:lastModifiedBy>
  <cp:revision>1</cp:revision>
  <dcterms:created xsi:type="dcterms:W3CDTF">2026-10-10T07:25:17.601Z</dcterms:created>
  <dcterms:modified xsi:type="dcterms:W3CDTF">2026-10-10T07:25:17.607Z</dcterms:modified>
</cp:coreProperties>
</file>

<file path=docProps/custom.xml><?xml version="1.0" encoding="utf-8"?>
<Properties xmlns="http://schemas.openxmlformats.org/officeDocument/2006/custom-properties" xmlns:vt="http://schemas.openxmlformats.org/officeDocument/2006/docPropsVTypes"/>
</file>