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Gunel Safarova, PhD</w:t>
      </w:r>
    </w:p>
    <w:p>
      <w:pPr>
        <w:spacing w:after="40"/>
      </w:pPr>
      <w:r>
        <w:rPr>
          <w:rFonts w:ascii="Times New Roman" w:cs="Times New Roman" w:eastAsia="Times New Roman" w:hAnsi="Times New Roman"/>
          <w:color w:val="1A6FA8"/>
          <w:sz w:val="24"/>
          <w:szCs w:val="24"/>
        </w:rPr>
        <w:t>Change-management consultant</w:t>
      </w:r>
    </w:p>
    <w:p>
      <w:pPr>
        <w:spacing w:after="160"/>
      </w:pPr>
      <w:r>
        <w:rPr>
          <w:rFonts w:ascii="Times New Roman" w:cs="Times New Roman" w:eastAsia="Times New Roman" w:hAnsi="Times New Roman"/>
          <w:sz w:val="22"/>
          <w:szCs w:val="22"/>
        </w:rPr>
        <w:t>Onepoint, France</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Gunel Safarova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Günel Səfərova</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France</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Management science</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Gunel Safarova is a change-management consultant at Onepoint in France, where she has worked since 2022, and an independent consultant in France and Azerbaijan since 2018. She received a doctorate in management sciences in 2019. The thesis, supervised by Prof. Annie Bartoli, is on the management of innovation and ambidexterity in the American context, in the case of family firms. She holds two Master 2 degrees, in business administration from the University of Versailles Saint-Quentin-en-Yvelines (2012) and in trilingual international management from Paris-Est Créteil University (2010). She teaches at ADA University in Azerbaijan and at the University of Versailles.</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Management sciences. Thesis: Le management de l’innovation et l’ambidextrie dans le contexte américain: le cas des entreprises familiales. Supervisor: Prof. Annie Bartoli</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Versailles Saint-Quentin-en-Yvelines, France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 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Business administration. Mention bien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 Supérieur de Management, University of Versailles Saint-Quentin-en-Yvelines, France</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 2</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Trilingual international management. Mention bien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Paris-Est Créteil University, France</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Change-management consultant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Onepoint, France. Clients named: bioMérieux, Engie Digital, Allianz Partners, EDF Hydro</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2018–present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Independent consultant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France and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2011–2017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International-projects officer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University of Versailles, France, and Georgetown University, United States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2007–2008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Brand manager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Evian, Danone,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2006–2007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Human-resources project officer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AF Bank, AF Holding,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2004–2006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International-projects officer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Office of an investment group, Azerbaijan and the United Arab Emirates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Bartoli, A.; Hermel, P.; </w:t>
      </w:r>
      <w:r>
        <w:rPr>
          <w:rFonts w:ascii="Times New Roman" w:cs="Times New Roman" w:eastAsia="Times New Roman" w:hAnsi="Times New Roman"/>
          <w:b/>
          <w:bCs/>
          <w:sz w:val="21"/>
          <w:szCs w:val="21"/>
        </w:rPr>
        <w:t>Safarova, G.</w:t>
      </w:r>
      <w:r>
        <w:rPr>
          <w:rFonts w:ascii="Times New Roman" w:cs="Times New Roman" w:eastAsia="Times New Roman" w:hAnsi="Times New Roman"/>
          <w:sz w:val="21"/>
          <w:szCs w:val="21"/>
        </w:rPr>
        <w:t xml:space="preserve"> Does the balance between conformity and innovation make companies more responsible? The case of four ambidextrous SMEs. RIMHE – Management &amp; Human Enterprise, 2017, RI/vol. 5, no. 29, pp. 74–88.</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 xml:space="preserve">1. Kadji, M.; </w:t>
      </w:r>
      <w:r>
        <w:rPr>
          <w:rFonts w:ascii="Times New Roman" w:cs="Times New Roman" w:eastAsia="Times New Roman" w:hAnsi="Times New Roman"/>
          <w:b/>
          <w:bCs/>
          <w:sz w:val="21"/>
          <w:szCs w:val="21"/>
        </w:rPr>
        <w:t>Safarova, G.</w:t>
      </w:r>
      <w:r>
        <w:rPr>
          <w:rFonts w:ascii="Times New Roman" w:cs="Times New Roman" w:eastAsia="Times New Roman" w:hAnsi="Times New Roman"/>
          <w:sz w:val="21"/>
          <w:szCs w:val="21"/>
        </w:rPr>
        <w:t>; Ngalla, A. Managerial innovation in the governance of a virtual community: the case of an open-source software project. VII International Scientific Conference e-Governance, Sozopol, Bulgaria, 2015.</w:t>
      </w:r>
    </w:p>
    <w:p>
      <w:pPr>
        <w:spacing w:after="80"/>
      </w:pPr>
      <w:r>
        <w:rPr>
          <w:rFonts w:ascii="Times New Roman" w:cs="Times New Roman" w:eastAsia="Times New Roman" w:hAnsi="Times New Roman"/>
          <w:sz w:val="21"/>
          <w:szCs w:val="21"/>
        </w:rPr>
        <w:t xml:space="preserve">2. Bartoli, A.; Hermel, P.; </w:t>
      </w:r>
      <w:r>
        <w:rPr>
          <w:rFonts w:ascii="Times New Roman" w:cs="Times New Roman" w:eastAsia="Times New Roman" w:hAnsi="Times New Roman"/>
          <w:b/>
          <w:bCs/>
          <w:sz w:val="21"/>
          <w:szCs w:val="21"/>
        </w:rPr>
        <w:t>Safarova, G.</w:t>
      </w:r>
      <w:r>
        <w:rPr>
          <w:rFonts w:ascii="Times New Roman" w:cs="Times New Roman" w:eastAsia="Times New Roman" w:hAnsi="Times New Roman"/>
          <w:sz w:val="21"/>
          <w:szCs w:val="21"/>
        </w:rPr>
        <w:t xml:space="preserve"> Tensions in managing change: innovation vs tradition? 11th International Conference Management and Engineering, Sozopol, Bulgaria, 2013.</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and professional-license theses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 2 in quality management, QSE, and human resources; professional license in management of organizations, 2015–2017</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2024–present</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Change management. MBA, continuing education, about 30 students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MBA</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ADA University Business School,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2023–present</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Human-resource management in consulting. Master 2, about 40 students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 2</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ISM, University of Versailles Saint-Quentin-en-Yvelines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2023–present</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Project management. Master 2 public health, about 30 students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 2</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UFR Sciences, University of Versailles Saint-Quentin-en-Yvelines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2015–2017</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Introduction to management; psychosociology of organizations; marketing; corporate strategy; marketing policies and techniques; management dashboards; strategic-diagnosis tools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DUT and professional license</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IUT Mantes-la-Jolie, University of Versailles Saint-Quentin-en-Yvelines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2013–2015</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International and intercultural management</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 2</w:t>
            </w: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ISM, University of Versailles Saint-Quentin-en-Yvelines</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Languages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00"/>
        <w:gridCol w:w="4838"/>
      </w:tblGrid>
      <w:tr>
        <w:trPr>
          <w:cantSplit/>
          <w:tblHeader/>
        </w:trPr>
        <w:tc>
          <w:tcPr>
            <w:tcW w:type="dxa" w:w="4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Language</w:t>
            </w:r>
          </w:p>
        </w:tc>
        <w:tc>
          <w:tcPr>
            <w:tcW w:type="dxa" w:w="48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Native</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French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English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Russian</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r>
        <w:trPr>
          <w:cantSplit/>
        </w:trPr>
        <w:tc>
          <w:tcPr>
            <w:tcW w:type="dxa" w:w="4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Turkish</w:t>
            </w:r>
          </w:p>
        </w:tc>
        <w:tc>
          <w:tcPr>
            <w:tcW w:type="dxa" w:w="48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Fluent</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Safarova, Gunel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