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Qismət olarsa görüşərik</w:t>
      </w:r>
    </w:p>
    <w:p>
      <w:pPr>
        <w:jc w:val="left"/>
      </w:pPr>
      <w:r>
        <w:rPr>
          <w:rFonts w:ascii="Arial" w:hAnsi="Arial" w:eastAsia="Arial"/>
          <w:i w:val="0"/>
          <w:color w:val="000000"/>
          <w:sz w:val="22"/>
        </w:rPr>
        <w:t>Həmişə «görüşərik» deyən adam indi «qismət olsa, görüşərik» deyir. Burada bir qəriblik var. Mən dəyişməmişəm, ona münasibətim də əvvəlki kimi istidir. Onunla yenə böyük məmnuniyyətlə görüşmək istərdim. Amma bu «qismət olsa» sanki aramızda bir sədd olub. Mən onun qismətindən xəbərsizəm, o da mənimkindən. Görəsən, bu iki qismətin bir-birindən xəbəri varmı, öz aralarında razılaşıb bizi görüşdürə bilərlərmi?</w:t>
      </w:r>
    </w:p>
    <w:p>
      <w:pPr>
        <w:jc w:val="left"/>
      </w:pPr>
      <w:r>
        <w:rPr>
          <w:rFonts w:ascii="Arial" w:hAnsi="Arial" w:eastAsia="Arial"/>
          <w:i w:val="0"/>
          <w:color w:val="000000"/>
          <w:sz w:val="22"/>
        </w:rPr>
        <w:t>Bəlkə də qismətdən heç nə ummaq lazım deyil və bu, sadəcə «gözdən uzaq, könüldən iraq» deyiminin təcəssümüdür?</w:t>
      </w:r>
    </w:p>
    <w:p>
      <w:pPr>
        <w:jc w:val="left"/>
      </w:pPr>
      <w:r>
        <w:rPr>
          <w:rFonts w:ascii="Arial" w:hAnsi="Arial" w:eastAsia="Arial"/>
          <w:i w:val="0"/>
          <w:color w:val="000000"/>
          <w:sz w:val="22"/>
        </w:rPr>
        <w:t>Heç sevmədim mən bu «qismət olsa» ifadəsini.</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Sevdiklərinlə arana soyuqluq buraxma. «Qismət olsa» deyib təxirə salma — bu gün görüş, bu gün könül al.</w:t>
      </w:r>
    </w:p>
    <w:p>
      <w:pPr>
        <w:keepLines/>
        <w:widowControl/>
        <w:spacing w:before="60" w:after="0" w:line="240" w:lineRule="auto"/>
        <w:jc w:val="right"/>
      </w:pPr>
      <w:r>
        <w:t>Bəxtiyar Siracov</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Qismət olarsa görüşərik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