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6.21 Public-Key Cryptography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1976 (Diffie–Hellman); 1977–1978 (RSA); earlier classified work later revealed | Key figure(s): Whitfield Diffie; Martin Hellman; Ron Rivest; Adi Shamir; Leonard Adleman; earlier GCHQ researchers (classified)</w:t>
      </w:r>
    </w:p>
    <w:p>
      <w:pPr>
        <w:spacing w:after="160" w:line="276" w:lineRule="auto"/>
      </w:pPr>
      <w:r>
        <w:rPr>
          <w:rFonts w:ascii="Calibri" w:hAnsi="Calibri" w:eastAsia="Calibri"/>
          <w:b w:val="0"/>
          <w:i w:val="0"/>
          <w:sz w:val="22"/>
        </w:rPr>
        <w:t>Public-key cryptography lets strangers share secrets and prove identity without first meeting to swap a private key. It underpins secure web shopping, software updates, and much of internet trust.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Diffie and Hellman published public-key agreement ideas in 1976</w:t>
      </w:r>
    </w:p>
    <w:p>
      <w:pPr>
        <w:pStyle w:val="ListBullet"/>
      </w:pPr>
      <w:r>
        <w:rPr>
          <w:rFonts w:ascii="Calibri" w:hAnsi="Calibri" w:eastAsia="Calibri"/>
          <w:b w:val="0"/>
          <w:i w:val="0"/>
          <w:sz w:val="22"/>
        </w:rPr>
        <w:t>RSA (1977–1978) offered a practical encryption and signature scheme based on factoring</w:t>
      </w:r>
    </w:p>
    <w:p>
      <w:pPr>
        <w:pStyle w:val="ListBullet"/>
      </w:pPr>
      <w:r>
        <w:rPr>
          <w:rFonts w:ascii="Calibri" w:hAnsi="Calibri" w:eastAsia="Calibri"/>
          <w:b w:val="0"/>
          <w:i w:val="0"/>
          <w:sz w:val="22"/>
        </w:rPr>
        <w:t>Each user can publish a public key while keeping a matching private key secret</w:t>
      </w:r>
    </w:p>
    <w:p>
      <w:pPr>
        <w:pStyle w:val="ListBullet"/>
      </w:pPr>
      <w:r>
        <w:rPr>
          <w:rFonts w:ascii="Calibri" w:hAnsi="Calibri" w:eastAsia="Calibri"/>
          <w:b w:val="0"/>
          <w:i w:val="0"/>
          <w:sz w:val="22"/>
        </w:rPr>
        <w:t>HTTPS and many messaging apps rely on public-key building blocks</w:t>
      </w:r>
    </w:p>
    <w:p>
      <w:pPr>
        <w:pStyle w:val="ListBullet"/>
      </w:pPr>
      <w:r>
        <w:rPr>
          <w:rFonts w:ascii="Calibri" w:hAnsi="Calibri" w:eastAsia="Calibri"/>
          <w:b w:val="0"/>
          <w:i w:val="0"/>
          <w:sz w:val="22"/>
        </w:rPr>
        <w:t>Related ideas were developed earlier in secret government research, revealed later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Public-key cryptography uses linked key pairs: a public key anyone may see and a private key only one party holds. You can encrypt a message to someone's public key so only their private key opens it, or verify a signature made with a private key. Key-agreement protocols let two parties derive a shared secret over an open channel. Think of padlocks you can copy and give away for sealing boxes, while only one key still opens them.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Whitfield Diffie and Martin Hellman openly described public-key distribution in 1976. Rivest, Shamir, and Adleman published RSA soon after. British GCHQ researchers had earlier classified work on similar ideas, acknowledged years later. Academic and industry cryptographers then built protocols, certificates, and standards. The breakthrough is conceptual as much as algorithmic.</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the mid-1970s papers, adoption waited on faster computers, careful implementations, and certificate authorities. The 1990s web boom made SSL/TLS and HTTPS practical necessities for commerce. Mobile messaging and software signing followed. Threats from future quantum computers now drive 'post-quantum' designs — the same need for trust between strangers, with new maths.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Public-key crypto rests on hard mathematical problems — factoring, discrete logarithms, elliptic curves — linking number theory to engineering. Security proofs and attack models became a discipline. It showed that secrecy can be negotiated in public view. Computer science gained a foundation for authentication at internet scale. Without it, a secure channel between strangers stays a metaphor.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Online banking, e-commerce, and app stores depend on certificates and signatures. VPNs, cryptocurrencies, and secure email build on the same primitives. Key-management failures teach operational security. Laws and export controls fought over the right to strong crypto. The quiet padlock in a browser is public-key engineering made mundane.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buy, bank, and speak across continents with less fear of casual eavesdropping — though not with perfect safety. Trust shifted partly from personal meetings to mathematical assurance and institutions that vouch for keys. Scams evolved too. Still, modern networked life would stall if every private chat first needed a couriered secret codebook.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Singh, Simon. The Code Book: The Science of Secrecy from Ancient Egypt to Quantum Cryptography. New York: Doubleday, 1999.</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'Public-key cryptography.'</w:t>
      </w:r>
      <w:hyperlink r:id="rId9">
        <w:r>
          <w:rPr>
            <w:color w:val="0563C1"/>
            <w:u w:val="single"/>
          </w:rPr>
          <w:t xml:space="preserve">https://www.britannica.com/topic/public-key-cryptography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'Cryptography.'</w:t>
      </w:r>
      <w:hyperlink r:id="rId10">
        <w:r>
          <w:rPr>
            <w:color w:val="0563C1"/>
            <w:u w:val="single"/>
          </w:rPr>
          <w:t xml:space="preserve">https://plato.stanford.edu/entries/cryptography/</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Cryptography and public-key milestones.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Scientific American. 'How Public Key Cryptography Works.'</w:t>
      </w:r>
      <w:hyperlink r:id="rId12">
        <w:r>
          <w:rPr>
            <w:color w:val="0563C1"/>
            <w:u w:val="single"/>
          </w:rPr>
          <w:t xml:space="preserve">https://www.scientificamerican.com/article/how-public-key-cryptography-works/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6.21 Public-Key Cryptography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