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Avoid These Questions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Do not ask an unemployed person, “Are you still without work?”, an employee, “How much do you earn?”, a childless person, “You still have no children?”, or a single person, “When are you getting married?”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Nor should we embarrass someone by asking, “You did not know that?” What seems like ordinary curiosity to us may touch another person’s deepest wound.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Some questions wound the heart. Every painful question left unasked may lift a burden from someone’s shoulders.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 These Questions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