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If fate allows, we'll meet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man who always says "we'll meet" now says "if fate allows, we'll meet." There's something strange here. I haven't changed, my attitude towards him is as warm as before. I would like to meet him again with great pleasure. But this "if fate allows" seems to be a barrier between us. I'm unaware of his fate, and he's unaware of mine. I wonder if these two fates know about each other, can they agree among themselves and make us meet?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Maybe we shouldn't expect anything from fate, and this is just the embodiment of the saying "out of sight, out of mind"?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never liked this expression "if fate allows".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Don't let the coldness between you and your loved ones linger. Don't postpone it by saying "if fate allows" - meet today, take heart today.</w:t>
      </w:r>
    </w:p>
    <w:p>
      <w:pPr>
        <w:keepLines/>
        <w:widowControl/>
        <w:spacing w:before="60" w:after="0" w:line="240" w:lineRule="auto"/>
        <w:jc w:val="right"/>
      </w:pPr>
      <w:r>
        <w:t>Bakhtiyar Sirajov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fate allows, we'll meet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