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O God, first give to the mountains and stones</w:t>
      </w:r>
    </w:p>
    <w:p>
      <w:pPr>
        <w:jc w:val="left"/>
      </w:pPr>
      <w:r>
        <w:rPr>
          <w:rFonts w:ascii="Arial" w:hAnsi="Arial" w:eastAsia="Arial"/>
          <w:i w:val="0"/>
          <w:color w:val="000000"/>
          <w:sz w:val="22"/>
        </w:rPr>
        <w:t>There was a prayer in ancient Turkic lands:</w:t>
      </w:r>
    </w:p>
    <w:p>
      <w:pPr>
        <w:jc w:val="left"/>
      </w:pPr>
      <w:r>
        <w:rPr>
          <w:rFonts w:ascii="Arial" w:hAnsi="Arial" w:eastAsia="Arial"/>
          <w:i w:val="0"/>
          <w:color w:val="000000"/>
          <w:sz w:val="22"/>
        </w:rPr>
        <w:t>— O God, first give to the mountains and stones, give to the forest, animals, water. Then give to people, to my next door neighbor, to the needy. If there is any left, give to me last!</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True generosity is to think of others first, then yourself. The culture of sharing of an entire people lives in this prayer.</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God, first give to the mountains and stones</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