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Адал тилим</w:t>
      </w:r>
    </w:p>
    <w:p>
      <w:r>
        <w:t>Ун жаңы, суу таптаза болгону менен, ачыткы бузук болсо, камыр жакшы көтөрүлбөйт; андай камырдан да жакшы нан чыкпайт.</w:t>
      </w:r>
    </w:p>
    <w:p>
      <w:r>
        <w:t>Мүнөзү таза бала өстүрүү үчүн аны адал ырыскы менен багуу керек.</w:t>
      </w:r>
    </w:p>
    <w:p>
      <w:r>
        <w:t>— Имам Газали</w:t>
      </w:r>
    </w:p>
    <w:p>
      <w:r>
        <w:t>Сабак: Баланын руханий тарбиясы дасторконуна коюлган бир тилимден башталат. Адал киреше менен таза ырыскы — жакшы адеп-ахлактын пайдубалы.</w:t>
      </w:r>
    </w:p>
    <w:p>
      <w:r>
        <w:t>Окуя ачык интернет булактарынан алынды.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