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1. Основы цивилизации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1.9 Печатный станок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около 1440 г. — европейский станок Гутенберга с подвижными литерами; около 1040 г. — подвижный шрифт в Китае | Основные имена: Иоганн Гутенберг в Европе; Би Шэн — создатель более раннего китайского подвижного шрифта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Печатный станок с набором из отдельных металлических литер позволяет многократно воспроизводить страницу с гораздо меньшими затратами труда, чем при переписывании от руки. В XV веке мастерская Иоганна Гутенберга удешевила книги и сделала распространение идей почти неудержимым.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Восточной Азии ксилография, а в Китае и подвижный шрифт применялись за несколько столетий до Гутенберга.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XI веке Би Шэн изготовил подвижные литеры из обожжённой глины.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1440–1450-х годах Гутенберг объединил металлический шрифт, масляную краску и печатный пресс в единую систему.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Сорокадвухстрочная Библия доказала, что объёмную книгу можно выпускать многочисленными одинаковыми экземплярами.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Печать ускорила развитие науки, новостей и религиозных споров в Европе.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Печатный станок прижимает покрытые краской литеры или резную доску к бумаге. При наборной печати каждая буква отлита как отдельная деталь, которую можно переставлять и вновь использовать для следующей страницы.</w:t>
      </w:r>
    </w:p>
    <w:p>
      <w:pPr>
        <w:keepLines w:val="0"/>
      </w:pPr>
      <w:r>
        <w:t>После набора страницы за один день можно получить множество оттисков. Так единичная рукопись превращается в тираж — словно набор штампов, из которого заново собирают каждую страницу. Станок не создаёт идеи, но позволяет многократно их воспроизводить.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В XI веке китаец Би Шэн создал подвижные литеры из обожжённой глины, а в Корее позднее использовали металлический шрифт. Ксилографическая печать с резных досок существовала в Восточной Азии ещё раньше.</w:t>
      </w:r>
    </w:p>
    <w:p>
      <w:pPr>
        <w:keepLines w:val="0"/>
      </w:pPr>
      <w:r>
        <w:t>В 1440–1450-х годах Иоганн Гутенберг из Майнца объединил долговечные металлические литеры, подходящую масляную краску и пресс, приспособленный из оборудования для виноделия или изготовления бумаги. Он не изобрёл печать с нуля, но создал систему, хорошо отвечавшую особенностям европейских алфавитов и книжного рынка.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Знаменитая сорокадвухстрочная Библия Гутенберга вышла примерно в 1455 году. Уже через несколько десятилетий типографии работали во многих европейских городах.</w:t>
      </w:r>
    </w:p>
    <w:p>
      <w:pPr>
        <w:keepLines w:val="0"/>
      </w:pPr>
      <w:r>
        <w:t>Распространению новой технологии помогли спрос на тексты, доступность бумаги и развитое ремесло металлообработки. Алфавит с относительно небольшим числом знаков особенно хорошо подходил для наборной печати, а торговля и войны быстро разнесли книги далеко за пределы одной мастерской.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Печать стандартизировала тексты: читатели в разных местах могли ссылаться на одни и те же страницы и вместе выявлять ошибки. Научные чертежи, карты и таблицы стало проще точно воспроизводить и распространять.</w:t>
      </w:r>
    </w:p>
    <w:p>
      <w:pPr>
        <w:keepLines w:val="0"/>
      </w:pPr>
      <w:r>
        <w:t>Историк Элизабет Эйзенстайн и другие исследователи считали печать одной из движущих сил Реформации, научной революции и формирования современной публичной сферы. Точность по-прежнему зависела от наборщика, зато стоимость каждого дополнительного экземпляра резко снизилась.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Газеты, брошюры, романы и школьные учебники — прямые наследники печатного станка. Затем появились ротационные машины, линотип, офсетная и цифровая печать.</w:t>
      </w:r>
    </w:p>
    <w:p>
      <w:pPr>
        <w:keepLines w:val="0"/>
      </w:pPr>
      <w:r>
        <w:t>Принцип «одна подготовленная форма — множество копий» проявился также в радиовещании, телевидении и интернете. Настольные издательские системы и лазерные принтеры перенесли возможности типографии в обычный офис.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Дешёвые книги расширили грамотность и создали массовую читающую публику. Вместе с полезными знаниями печать распространяла пропаганду и породила споры о цензуре и авторском праве. Религиозные, научные и политические дискуссии стали острее, потому что один и тот же текст оказался в руках множества людей.</w:t>
      </w:r>
    </w:p>
    <w:p>
      <w:pPr>
        <w:keepLines w:val="0"/>
      </w:pPr>
      <w:r>
        <w:t>Повседневность пополнилась газетами, а позднее недорогими книгами в мягкой обложке. Сам по себе станок не сделал людей мудрее, но превратил знание в нечто способное быстро преодолевать расстояния.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Eisenstein, Elizabeth L. The Printing Press as an Agent of Change. Cambridge: Cambridge University Press, 1979.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«Printing press».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https://www.britannica.com/technology/printing-press</w:t>
        </w:r>
      </w:hyperlink>
    </w:p>
    <w:p>
      <w:pPr>
        <w:pStyle w:val="Heading2"/>
      </w:pPr>
      <w:r>
        <w:t>D. Музейные, архивные и библиотечные материалы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British Library. Библия Гутенберга.</w:t>
      </w:r>
      <w:r>
        <w:t xml:space="preserve"> </w:t>
      </w:r>
      <w:hyperlink r:id="rId12">
        <w:r>
          <w:rPr>
            <w:color w:val="0563C1"/>
            <w:u w:val="single"/>
          </w:rPr>
          <w:t>https://www.bl.uk/collection-items/gutenberg-bible</w:t>
        </w:r>
      </w:hyperlink>
    </w:p>
    <w:p>
      <w:pPr>
        <w:keepLines/>
        <w:spacing w:after="80" w:line="300" w:lineRule="auto"/>
        <w:numPr>
          <w:ilvl w:val="0"/>
          <w:numId w:val="13"/>
        </w:numPr>
      </w:pPr>
      <w:r>
        <w:t>Gutenberg-Museum Mainz.</w:t>
      </w:r>
      <w:r>
        <w:t xml:space="preserve"> </w:t>
      </w:r>
      <w:hyperlink r:id="rId13">
        <w:r>
          <w:rPr>
            <w:color w:val="0563C1"/>
            <w:u w:val="single"/>
          </w:rPr>
          <w:t>https://www.gutenberg-museum.de/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1. Основы цивилизации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printing-press" TargetMode="External"/><Relationship Id="rId12" Type="http://schemas.openxmlformats.org/officeDocument/2006/relationships/hyperlink" Target="https://www.bl.uk/collection-items/gutenberg-bible" TargetMode="External"/><Relationship Id="rId13" Type="http://schemas.openxmlformats.org/officeDocument/2006/relationships/hyperlink" Target="https://www.gutenberg-museum.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1.9 Печатный станок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