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Эта лодка тоже пуста.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Мой учитель говорил: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я был молод, я часто ходил на озеро, мечтал и размышлял в одиночестве. У меня была маленькая лодка. Я часами плавал в ней, находя покой в ​​мире мыслей.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Однажды, рано утром, когда взошло солнце, я, как обычно, сидел в своей лодке, погруженный в размышления.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Внезапно чья-то лодка врезалась в мою лодку и потрясла весь мой мир снов. Я очень разозлился. Я открыл глаза с намерением проклясть владельца этой лодки и увидел, что лодка, врезавшаяся в меня, пуста. В лодке не было никого, кому я мог бы выплеснуть свой гнев. Поэтому я закрыл глаза и снова погрузился в мир прекрасных снов. Когда взошло солнце, я почувствовал, что моя душа обрела полный покой.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Пустая лодка стала для меня уроком. С тех пор, всякий раз, когда кто-то пытается причинить мне боль, я просто говорю себе: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Эта лодка тоже пуста.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Если человек хочет сохранить душевный покой, ему не следует искать злые намерения за каждым происшествием. Иногда то, что нас беспокоит, — всего лишь совпадение; только от нас зависит, преувеличивать ли это и превращать в гнев.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 лодка тоже пуста.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