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4.12 Soap and Hygiene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4. Medicine, Biology, and Public Health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Antiquity (early soaps and washing); 19th century onward (germ theory and public hygiene campaigns) | Key figure(s): Ancient soap-making cultures; Ignaz Semmelweis; Florence Nightingale; public-health reformers; later soap industrialists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Soap lifts grease and microbes from skin and surfaces; hygiene turns that washing into habit, rule, and infrastructure. Together they cut infection routes long before antibiotics arrived.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Early soap-like materials appear in ancient Near Eastern and Mediterranean contexts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Semmelweis linked handwashing to lower puerperal fever in mid-19th-century Vienna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Germ theory gave washing a microbial rationale that earlier custom lacked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Soap, clean water, and sanitation campaigns reduced many infectious diseases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Modern public health still counts hand hygiene among the cheapest life-saving acts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Soap is a surfactant made traditionally from fats and alkali; it surrounds oily dirt so water can rinse it away, taking many microbes with it. Hygiene is the wider practice — handwashing, bathing, laundry, wound cleaning, and rules that keep filth from food and water. Together they interrupt transmission without naming every pathogen. In plain speech, soap makes water wetter against grease — like a tiny escort that walks oil into the drain — and hygiene makes washing expected.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Soapmaking arose in multiple ancient cultures; no inventor owns cleanliness. Semmelweis quantified handwashing's power in maternity wards before germs were accepted; Nightingale and sanitation engineers pushed hospital and city cleanliness. Chemists industrialised mild, scented bars; advertisers taught new norms. Credit also belongs to mothers, midwives, and workers who enforced washing when elites scoffed. The famous reformers stand on older laundry wisdom.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Ancient recipes and baths show early care for washing; medieval and early modern Europe mixed soap luxury with patchy habits. Nineteenth-century cholera maps, germ theory, and municipal water supplies turned hygiene into civic duty. School drills and military inspections spread handwashing. Twentieth-century soap brands globalised the bar. Adoption always needed water access — soap without a tap teaches a cruel lesson.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Soap demonstrates amphiphilic chemistry at the sink: one end loves water, the other loves grease. Hygiene practices are applied epidemiology: breaking contact chains. Controlled observations, from Semmelweis's counts to modern trials, showed mortality fall when hands are cleaned at the right moments. Microbiology explained why; statistics proved it. Without that bridge from chemistry to behaviour, germ theory would remain abstract in the clinic.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Antisepsis, sterile technique, and infection-control protocols extend hygiene's logic with stronger agents. Soap and water remain first-line where alcohol gels fail against certain soils. Public-health messaging in pandemics still returns to washing. Detergent chemistry branched into industry and labs. Later medicine never retired the humble bar; it built towers of protocol on its foundation.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Childbed fever, diarrhoeal disease, and wound sepsis retreated where clean water and washing spread. Smell and stigma shifted — cleanliness became moralised, sometimes unjustly. Factories produced soap for the poor and perfume for the rich. Daily life gained a ritual: wash before eating, after soil, between patients. Surviving infection became partly a matter of habit taught at the basin.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A. Books and major scholarly works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Tomes, Nancy. The Gospel of Germs: Men, Women, and the Microbe in American Life. Cambridge, MA: Harvard University Press, 1998.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C. 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'Soap.'</w:t>
      </w:r>
      <w:hyperlink r:id="rId9">
        <w:r>
          <w:rPr>
            <w:color w:val="0563C1"/>
            <w:u w:val="single"/>
          </w:rPr>
          <w:t xml:space="preserve">https://www.britannica.com/science/soap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Encyclopaedia Britannica. 'Ignaz Semmelweis.'</w:t>
      </w:r>
      <w:hyperlink r:id="rId10">
        <w:r>
          <w:rPr>
            <w:color w:val="0563C1"/>
            <w:u w:val="single"/>
          </w:rPr>
          <w:t xml:space="preserve">https://www.britannica.com/biography/Ignaz-Semmelweis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G. Space agencies, laboratories, and scientific organisations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U.S. CDC. Handwashing and hygiene guidance.</w:t>
      </w:r>
      <w:hyperlink r:id="rId11">
        <w:r>
          <w:rPr>
            <w:color w:val="0563C1"/>
            <w:u w:val="single"/>
          </w:rPr>
          <w:t xml:space="preserve">https://www.cdc.gov/clean-hands/about/index.html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D. 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Science Museum (London). Public health, soap, and hygiene objects.</w:t>
      </w:r>
      <w:hyperlink r:id="rId12">
        <w:r>
          <w:rPr>
            <w:color w:val="0563C1"/>
            <w:u w:val="single"/>
          </w:rPr>
          <w:t xml:space="preserve">https://www.sciencemuseum.org.uk/objects-and-stories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soap" TargetMode="External"/><Relationship Id="rId10" Type="http://schemas.openxmlformats.org/officeDocument/2006/relationships/hyperlink" Target="https://www.britannica.com/biography/Ignaz-Semmelweis" TargetMode="External"/><Relationship Id="rId11" Type="http://schemas.openxmlformats.org/officeDocument/2006/relationships/hyperlink" Target="https://www.cdc.gov/clean-hands/about/index.html" TargetMode="External"/><Relationship Id="rId12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4.12 Soap and Hygiene</dc:title>
  <dc:subject>4. Medicine, Biology, and Public Health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