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7.7 Блокчейн</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2008-жыл (Bitcoin баяндамасы); 2015-жыл (Ethereum акылдуу келишимдери) | Негизги өкүлдөр: Сатоши Накамото (жашыруун ат); Виталик Бутерин (Ethereum)</w:t>
      </w:r>
    </w:p>
    <w:p>
      <w:pPr>
        <w:spacing w:after="160" w:line="276" w:lineRule="auto"/>
      </w:pPr>
      <w:r>
        <w:rPr>
          <w:rFonts w:ascii="Calibri" w:hAnsi="Calibri" w:eastAsia="Calibri"/>
          <w:b w:val="0"/>
          <w:i w:val="0"/>
          <w:sz w:val="22"/>
        </w:rPr>
        <w:t>Блокчейн — барактарынын ордун блоктор ээлеген жалпы санарип эсеп-кысап китеби. Блоктор криптографиялык ыкма менен чынжыр болуп байланышкандыктан, мурдагы жазууларды өзгөртүү өтө кыйын. Ал Bitcoin'дин негизи катары белгилүү болуп, кийин башка маалыматтарды сактоо үчүн да сынала баштады.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Стюарт Хабер менен У. Скотт Сторнетта 1991-жылы убакыт белгиси коюлуп, бири-бирине байланышкан санарип жазуулар ыкмасын жарыялаган</w:t>
      </w:r>
    </w:p>
    <w:p>
      <w:pPr>
        <w:pStyle w:val="ListBullet"/>
      </w:pPr>
      <w:r>
        <w:rPr>
          <w:rFonts w:ascii="Calibri" w:hAnsi="Calibri" w:eastAsia="Calibri"/>
          <w:b w:val="0"/>
          <w:i w:val="0"/>
          <w:sz w:val="22"/>
        </w:rPr>
        <w:t>Сатоши Накамотонун 2008-жылкы Bitcoin баяндамасы блоктор чынжырын банксыз жалпы чечимге келүү ыкмасы менен бириктирген</w:t>
      </w:r>
    </w:p>
    <w:p>
      <w:pPr>
        <w:pStyle w:val="ListBullet"/>
      </w:pPr>
      <w:r>
        <w:rPr>
          <w:rFonts w:ascii="Calibri" w:hAnsi="Calibri" w:eastAsia="Calibri"/>
          <w:b w:val="0"/>
          <w:i w:val="0"/>
          <w:sz w:val="22"/>
        </w:rPr>
        <w:t>Хэш — маалыматтын санарип манжа изи; маалымат өзгөрсө, анын изи да өзгөрөт</w:t>
      </w:r>
    </w:p>
    <w:p>
      <w:pPr>
        <w:pStyle w:val="ListBullet"/>
      </w:pPr>
      <w:r>
        <w:rPr>
          <w:rFonts w:ascii="Calibri" w:hAnsi="Calibri" w:eastAsia="Calibri"/>
          <w:b w:val="0"/>
          <w:i w:val="0"/>
          <w:sz w:val="22"/>
        </w:rPr>
        <w:t>Айрым блокчейндердин өтө көп энергия сарпташы олуттуу кемчилик болуп саналат</w:t>
      </w:r>
    </w:p>
    <w:p>
      <w:pPr>
        <w:pStyle w:val="ListBullet"/>
      </w:pPr>
      <w:r>
        <w:rPr>
          <w:rFonts w:ascii="Calibri" w:hAnsi="Calibri" w:eastAsia="Calibri"/>
          <w:b w:val="0"/>
          <w:i w:val="0"/>
          <w:sz w:val="22"/>
        </w:rPr>
        <w:t>Ар бир маалымат базасына блокчейн керек эмес: ал ишенимге байланышкан айрым маселелерге ылайык, баарына эмес</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Блокчейн — блокторго топтолгон жазуулардын тизмеги; ар бир блок өзүнөн мурунку блоктун криптографиялык хэшин, башкача айтканда санарип манжа изин камтыйт. Эски блок өзгөртүлсө, издердин чынжыры бузулат. Ачык криптовалюта тармактарында көптөгөн компьютер көчүрмөнү сактап, кийинки блок боюнча бир пикирге келүү эрежелерин — консенсусту — аткарат. Реестр же леджер жөн гана эсеп-кысап китеби. Жаңылык — бир кызматкер башкарбастан, бири-бирин тааныбаган көп адам бөлүшө алган эсеп китебинде.</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Хабер менен Сторнеттанын документке убакыт белгисин коюу боюнча эмгеги блокчейндин маанилүү башаты болгон. 2008-жылы Сатоши Накамото деген ат колдонгон адам же топ Bitcoin: A Peer-to-Peer Electronic Cash System баяндамасын жарыялап, 2009-жылы тармакты ишке киргизген. Алар хэштер чынжырын катышуучуларды кызыктырган сый акы жана «иш аткарылганын далилдөө» консенсус эрежеси менен бириктирген. Сатошинин чыныгы ким экени белгисиз. Кийинки иштеп чыгуучулар консенсустун башка жолдорун жана жаңы колдонмолорду сунуштады.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Баяндама 2008-жылдагы каржы каатчылыгынан кийин, ортомчу мекемелерге ишеним азайган учурда жарык көргөн, бирок анын техникалык бөлүктөрү андан мурда эле бар болчу. Кеңири жеткиликтүү криптография жана тең укуктуу компьютерлер тармагы негиз түздү. Bitcoin борбордук башкаруучусу жок санарип акча системасы жылдар бою иштей аларын көрсөттү. Андан соң алып-сатарлык, кылмыштуу колдонуу жана чыныгы тажрыйбалар катар өнүктү. Идея алгачкы криптовалютанын чегинен чыкты.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Блокчейн бүтүмдөрдүн жалпыга ачык, текшерүүгө мүмкүн болгон тарыхын түздү. Бул колдонмо криптография менен бөлүштүрүлгөн системалардын айкалышы. Ошол эле учурда айрым долбоорлордун баасын да көрсөттү: «иш аткарылганын далилдөө» ыкмасы өтө көп электр сарптайт. Илим үчүн эң кызык суроо — ишенимди кайсы учурда мекеменин ордуна математика камсыздай алат? Чынчыл жооп: кээ бир учурда гана, анын да өз баасы бар.</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Башка криптовалюталар, чынжырда сакталган программалар — акылдуу келишимдер — жана товар жеткирүү же күбөлүктөр үчүн тажрыйбалык реестрлер пайда болду. Көп долбоор ишке ашкан жок же башынан эле зарыл эмес болчу. Банктар менен өкмөттөр башка түзүлүшкө негизделген ири көлөмдөгү санарип акчаны сынады. Жөнгө салуу, энергия керектөө жана кайсы маселеге чынжыр чындап керек экенин тактоо дагы эле уланууда.</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Айрым адамдар салттуу банксыз эле каражатты чек арадан өткөрө алды; башкалары алдамчылык жана баанын кескин өзгөрүшүнөн топтогон акчасын жоготту. Коом акча, энергия жана каржылык алдамчылык тууралуу чоң талкууга кирди. Айрым сүрөтчүлөр менен мекемелер блокчейнди санарип нотариус катары колдонду. Чыныгы өнүгүү бул идея зыянды азайткан жерде колдонулганда гана болот; жөн гана татаалдык кошкон жерде эмес.</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Nakamoto, Satoshi. «Bitcoin: A Peer-to-Peer Electronic Cash System». 2008.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https://bitcoin.org/bitcoin.pdf</w:t>
        </w:r>
      </w:hyperlink>
    </w:p>
    <w:p>
      <w:pPr>
        <w:spacing w:after="80"/>
        <w:ind w:left="360"/>
      </w:pPr>
      <w:r>
        <w:rPr>
          <w:rFonts w:ascii="Calibri" w:hAnsi="Calibri" w:eastAsia="Calibri"/>
          <w:b w:val="0"/>
          <w:i w:val="0"/>
          <w:sz w:val="22"/>
        </w:rPr>
        <w:t>2. Haber, Stuart, and W. Scott Stornetta. «How to Time-Stamp a Digital Document». Journal of Cryptology 3 (1991): 99–111.</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«Блокчейн».</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https://www.britannica.com/money/blockchain</w:t>
        </w:r>
      </w:hyperlink>
    </w:p>
    <w:p>
      <w:pPr>
        <w:spacing w:after="80"/>
        <w:ind w:left="360"/>
      </w:pPr>
      <w:r>
        <w:rPr>
          <w:rFonts w:ascii="Calibri" w:hAnsi="Calibri" w:eastAsia="Calibri"/>
          <w:b w:val="0"/>
          <w:i w:val="0"/>
          <w:sz w:val="22"/>
        </w:rPr>
        <w:t>2. NIST. Блокчейн технологиясына сереп (NISTIR 8202).</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https://csrc.nist.gov/publications/detail/nistir/8202/final</w:t>
        </w:r>
      </w:hyperlink>
    </w:p>
    <w:p>
      <w:pPr>
        <w:keepNext/>
        <w:spacing w:before="240" w:after="120"/>
      </w:pPr>
      <w:r>
        <w:rPr>
          <w:rFonts w:ascii="Calibri" w:hAnsi="Calibri" w:eastAsia="Calibri"/>
          <w:b/>
          <w:i w:val="0"/>
          <w:color w:val="004E8C"/>
          <w:sz w:val="24"/>
        </w:rPr>
        <w:t>F. Онлайн лекциялар жана билим берүүчү сериялар</w:t>
      </w:r>
    </w:p>
    <w:p>
      <w:pPr>
        <w:spacing w:after="80"/>
        <w:ind w:left="360"/>
      </w:pPr>
      <w:r>
        <w:rPr>
          <w:rFonts w:ascii="Calibri" w:hAnsi="Calibri" w:eastAsia="Calibri"/>
          <w:b w:val="0"/>
          <w:i w:val="0"/>
          <w:sz w:val="22"/>
        </w:rPr>
        <w:t>1. MIT OpenCourseWare. «Blockchain and Money» (Gary Gensler), 2018.</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https://ocw.mit.edu/courses/15-s12-blockchain-and-money-fall-2018/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www.britannica.com/money/blockchain" TargetMode="External"/><Relationship Id="rId11" Type="http://schemas.openxmlformats.org/officeDocument/2006/relationships/hyperlink" Target="https://csrc.nist.gov/publications/detail/nistir/8202/final" TargetMode="External"/><Relationship Id="rId12" Type="http://schemas.openxmlformats.org/officeDocument/2006/relationships/hyperlink" Target="https://ocw.mit.edu/courses/15-s12-blockchain-and-money-fall-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Блокчейн</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