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6.27 Электронные платежи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середина XX века — расчётные и кредитные карты; 1960–1970-е годы — электронная авторизация; позднее — автоматизированный клиринг, карточные сети и мобильные кошельки | Ключевые участники: банковские карточные ассоциации; инженеры платёжных сетей; торговые компании и расчётные палаты, переведшие взаиморасчёты в цифровую форму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Электронные платежи передают стоимость в виде авторизованных цифровых сообщений вместо наличных денег или чеков. Карты, банковские переводы и мобильные кошельки позволили за секунды оплачивать покупки, совершённые на большом расстоянии.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середине XX века расчётные и кредитные карты заменили многие магазинные долговые счета универсальной пластиковой картой.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Сети электронной авторизации позволили продавцам удалённо проверять карту до завершения покупки.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Автоматизированные расчётные палаты начали проводить пакетные банковские переводы без пересылки бумажных документов.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Карточные системы, а позднее платёжные шлюзы стандартизировали сообщения между банками, магазинами и клиентами.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Мобильные кошельки и системы мгновенных платежей продолжают ту же идею: передаётся доверенная инструкция, а не физические деньги.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Электронные платёжные системы списывают средства с одного счёта и зачисляют на другой с помощью телекоммуникаций и цифровых реестров, а не банкнот. Проведение карты, банковский перевод или прикосновение телефона отправляет запрос на авторизацию; затем клиринг и окончательный расчёт обновляют остатки на счетах.</w:t>
      </w:r>
    </w:p>
    <w:p>
      <w:pPr>
        <w:keepLines w:val="0"/>
      </w:pPr>
      <w:r>
        <w:t>В ту же инфраструктуру встроены проверка мошенничества, комиссии и возвратные платежи. Говоря проще, электронный платёж — это деньги, которые путешествуют как сообщение.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магазинных расчётных жетонов и банковских карт было множество корпоративных создателей. Разработчики сетей связали торговые терминалы с центральными компьютерами, чтобы магазин в одном городе мог запросить сведения о счёте в другом.</w:t>
      </w:r>
    </w:p>
    <w:p>
      <w:pPr>
        <w:keepLines w:val="0"/>
      </w:pPr>
      <w:r>
        <w:t>Ассоциации расчётных палат перевели пакетные межбанковские переводы в цифровую форму. Органы стандартизации и регуляторы определяли, кто и на каких условиях вправе перемещать средства. Поэтому изобретателями электронных платежей были не только отдельные инженеры, но и целые учреждения.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 1950–1960-е годы быстро росли послевоенные карточные системы. Когда телефонные линии и каналы передачи данных подешевели, появилась электронная авторизация. POS-терминалы и магнитная полоса сделали оплату картой привычной в магазинах.</w:t>
      </w:r>
    </w:p>
    <w:p>
      <w:pPr>
        <w:keepLines w:val="0"/>
      </w:pPr>
      <w:r>
        <w:t>Автоматизированные клиринговые системы, а позднее переводы в реальном времени начали проводить зарплаты и платежи по счетам. Интернет добавил удалённую оплату, смартфоны — мобильные кошельки. Каждый новый слой сокращал срок расчёта, но одновременно повышал требования к кибербезопасности.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Электронные платежи потребовали надёжных распределённых баз данных, криптографии и устойчивой к сбоям передачи сообщений в масштабе розничной торговли. Моделирование риска и выявление мошенничества стали задачами прикладной статистики.</w:t>
      </w:r>
    </w:p>
    <w:p>
      <w:pPr>
        <w:keepLines w:val="0"/>
      </w:pPr>
      <w:r>
        <w:t>Экономисты изучают, как меняется скорость обращения денег по мере сокращения доли наличных. С научной точки зрения электронная платёжная система рассматривает стоимость как информацию, подлинность которой необходимо подтвердить.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Электронная торговля, платформы временной занятости и подписные сервисы предполагают сохранённую карту или мгновенный перевод. Эксперименты с цифровыми валютами центральных банков используют знакомую логику расчётов.</w:t>
      </w:r>
    </w:p>
    <w:p>
      <w:pPr>
        <w:keepLines w:val="0"/>
      </w:pPr>
      <w:r>
        <w:t>В городах, где почти не пользуются наличными, меняются чаевые, оплата транспорта и пожертвования. Межбанковские комиссии и разрыв в доступе к финансовым услугам становятся не только техническими, но и политическими вопросами.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Люди получили возможность покупать за границей, не нося с собой крупные суммы наличных, а небольшие продавцы — принимать платежи от далёких клиентов. Простота оплаты картой одновременно усилила импульсивные покупки и долговую нагрузку.</w:t>
      </w:r>
    </w:p>
    <w:p>
      <w:pPr>
        <w:keepLines w:val="0"/>
      </w:pPr>
      <w:r>
        <w:t>Лишённые доступа к банковским услугам рискуют оказаться за пределами цифровых рынков. Сокращается и частная жизнь: каждая чашка кофе оставляет запись в электронном реестре.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Stearns, David L. Electronic Value Exchange: Origins of the VISA Electronic Payment System. London: Springer, 2011.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«Credit card».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https://www.britannica.com/money/credit-card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Bank for International Settlements. Committee on Payments and Market Infrastructures. </w:t>
      </w:r>
      <w:r>
        <w:t xml:space="preserve"> </w:t>
      </w:r>
      <w:hyperlink r:id="rId12">
        <w:r>
          <w:rPr>
            <w:color w:val="0563C1"/>
            <w:u w:val="single"/>
          </w:rPr>
          <w:t>https://www.bis.org/cpmi/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Computer History Museum. Материалы по истории банковских систем и электронного перевода средств. </w:t>
      </w:r>
      <w:r>
        <w:t xml:space="preserve"> </w:t>
      </w:r>
      <w:hyperlink r:id="rId13">
        <w:r>
          <w:rPr>
            <w:color w:val="0563C1"/>
            <w:u w:val="single"/>
          </w:rPr>
          <w:t>https://www.computerhistory.org/</w:t>
        </w:r>
      </w:hyperlink>
    </w:p>
    <w:p>
      <w:pPr>
        <w:pStyle w:val="Heading2"/>
      </w:pPr>
      <w:r>
        <w:t>J. Пресса, популярная наука и общие справочные материалы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 xml:space="preserve">Federal Reserve Education. Материалы о работе платёжных систем. </w:t>
      </w:r>
      <w:r>
        <w:t xml:space="preserve"> </w:t>
      </w:r>
      <w:hyperlink r:id="rId14">
        <w:r>
          <w:rPr>
            <w:color w:val="0563C1"/>
            <w:u w:val="single"/>
          </w:rPr>
          <w:t>https://www.federalreserveeducation.org/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money/credit-card" TargetMode="External"/><Relationship Id="rId12" Type="http://schemas.openxmlformats.org/officeDocument/2006/relationships/hyperlink" Target="https://www.bis.org/cpmi/" TargetMode="External"/><Relationship Id="rId13" Type="http://schemas.openxmlformats.org/officeDocument/2006/relationships/hyperlink" Target="https://www.computerhistory.org/" TargetMode="External"/><Relationship Id="rId14" Type="http://schemas.openxmlformats.org/officeDocument/2006/relationships/hyperlink" Target="https://www.federalreserveeducatio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6.27 Электронные платежи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