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7.7 Blokçeyn</w:t>
      </w:r>
    </w:p>
    <w:p>
      <w:pPr>
        <w:spacing w:after="80"/>
      </w:pPr>
      <w:r>
        <w:rPr>
          <w:rFonts w:ascii="Calibri" w:hAnsi="Calibri" w:eastAsia="Calibri"/>
          <w:b w:val="0"/>
          <w:i/>
          <w:color w:val="505050"/>
          <w:sz w:val="22"/>
        </w:rPr>
        <w:t>7. Yeni və transformativ texnologiyalar</w:t>
      </w:r>
    </w:p>
    <w:p>
      <w:pPr>
        <w:spacing w:after="200"/>
      </w:pPr>
      <w:r>
        <w:rPr>
          <w:rFonts w:ascii="Calibri" w:hAnsi="Calibri" w:eastAsia="Calibri"/>
          <w:b w:val="0"/>
          <w:i/>
          <w:sz w:val="22"/>
        </w:rPr>
        <w:t>Dövr: 2008-ci il (Bitcoin texniki sənədi); 2015-ci il (Ethereum ağıllı müqavilələri) | Əsas simalar: Satoşi Nakamoto (təxəllüs); Vitalik Buterin (Ethereum)</w:t>
      </w:r>
    </w:p>
    <w:p>
      <w:pPr>
        <w:spacing w:after="160" w:line="276" w:lineRule="auto"/>
      </w:pPr>
      <w:r>
        <w:rPr>
          <w:rFonts w:ascii="Calibri" w:hAnsi="Calibri" w:eastAsia="Calibri"/>
          <w:b w:val="0"/>
          <w:i w:val="0"/>
          <w:sz w:val="22"/>
        </w:rPr>
        <w:t>Blokçeyn qeydləri ardıcıl bloklarda saxlayan və hər bloku əvvəlki blokun kriptoqrafik izi ilə bağlayan paylanmış rəqəmsal reyestrdir. Bu quruluş köhnə qeydlərin sonradan gizlicə dəyişdirilməsini çətinləşdirir və iştirakçıların vahid məlumat tarixçəsini paylaşmasına imkan verir.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Stüart Haber və U. Skott Stornetta 1991-ci ildə bir-biri ilə əlaqəli vaxt möhürləmə üsulunu dərc etdilər</w:t>
      </w:r>
    </w:p>
    <w:p>
      <w:pPr>
        <w:pStyle w:val="ListBullet"/>
      </w:pPr>
      <w:r>
        <w:rPr>
          <w:rFonts w:ascii="Calibri" w:hAnsi="Calibri" w:eastAsia="Calibri"/>
          <w:b w:val="0"/>
          <w:i w:val="0"/>
          <w:sz w:val="22"/>
        </w:rPr>
        <w:t>Satoşi Nakamotonun 2008-ci il Bitcoin məqaləsi bloklar zəncirini bank olmadan razılığa gəlmək üsulu ilə birləşdirdi</w:t>
      </w:r>
    </w:p>
    <w:p>
      <w:pPr>
        <w:pStyle w:val="ListBullet"/>
      </w:pPr>
      <w:r>
        <w:rPr>
          <w:rFonts w:ascii="Calibri" w:hAnsi="Calibri" w:eastAsia="Calibri"/>
          <w:b w:val="0"/>
          <w:i w:val="0"/>
          <w:sz w:val="22"/>
        </w:rPr>
        <w:t>Heş məlumatın rəqəmsal barmaq izidir; məlumat dəyişəndə bu iz də dəyişir</w:t>
      </w:r>
    </w:p>
    <w:p>
      <w:pPr>
        <w:pStyle w:val="ListBullet"/>
      </w:pPr>
      <w:r>
        <w:rPr>
          <w:rFonts w:ascii="Calibri" w:hAnsi="Calibri" w:eastAsia="Calibri"/>
          <w:b w:val="0"/>
          <w:i w:val="0"/>
          <w:sz w:val="22"/>
        </w:rPr>
        <w:t>Bəzi blokçeynlərin çox enerji sərf etməsi ciddi çatışmazlıqdır</w:t>
      </w:r>
    </w:p>
    <w:p>
      <w:pPr>
        <w:pStyle w:val="ListBullet"/>
      </w:pPr>
      <w:r>
        <w:rPr>
          <w:rFonts w:ascii="Calibri" w:hAnsi="Calibri" w:eastAsia="Calibri"/>
          <w:b w:val="0"/>
          <w:i w:val="0"/>
          <w:sz w:val="22"/>
        </w:rPr>
        <w:t>Hər məlumat bazasına blokçeyn lazım deyil; bu vasitə bütün etimad problemlərinə deyil, yalnız bəzilərinə uyğundur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Blokçeyn bloklar üzrə qruplaşdırılan qeydlər siyahısıdır və hər blok özündən əvvəlkinin kriptoqrafik heşini — rəqəmsal barmaq izini — daşıyır. Köhnə blok dəyişdirilsə, bu izlər zənciri qırılar. Açıq kriptovalyuta şəbəkələrində çoxsaylı kompüter reyestrin surətini saxlayır və növbəti blok haqqında razılığa gəlmək üçün ortaq qaydalara, yəni konsensus mexanizminə əməl edir. Uçot reyestri sadəcə hesab kitabıdır. Yenilik ondadır ki, bir-birini tanımayan çoxsaylı insan həmin reyestri vahid mərkəzi nəzarətçi olmadan paylaşa bilir.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Haber və Stornettanın sənədlərə vaxt möhürü vurulması üzrə işi blokçeynin mühüm sələfidir. 2008-ci ildə Satoşi Nakamoto adından istifadə edən şəxs və ya qrup “Bitcoin: A Peer-to-Peer Electronic Cash System” məqaləsini dərc etdi, 2009-cu ildə isə şəbəkəni işə saldı. Onlar heşlər zəncirini təşviq mexanizmi və konsensus qaydası — işin sübutu ilə birləşdirdilər. Müəllifin kimliyi hələ də məlum deyil. Sonrakı yaradıcılar başqa konsensus üsulları və istifadə sahələri təklif etdilər.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Məqalə vasitəçilərə etimadın zəiflədiyi 2008-ci il maliyyə böhranından sonra yayımlandı, lakin onun texniki hissələri daha qədim idi. Hamı üçün əlçatan kriptoqrafiya və bərabərhüquqlu kompüter şəbəkələri buna zəmin yaratdı. Bitcoin mərkəzləşdirilməmiş rəqəmsal pulun illərlə işləyə biləcəyini göstərdi. Ardınca möhtəkirlik, cinayət fəaliyyəti və həqiqi texnoloji təcrübələr eyni vaxtda gəldi. İdeya ilk kriptovalyutanın hüdudlarını aşdı.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Blokçeyn əməliyyatların hamı üçün görünən və yoxlana bilən tarixçəsini yaratdı. O, tətbiqi kriptoqrafiya ilə paylanmış sistemlərin birləşməsidir. Eyni zamanda bəzi quruluşların xərcini də göstərdi: işin sübutu böyük həcmdə elektrik enerjisi sərf edir. Elmi baxımdan ən maraqlı sual etimad haqqındadır: riyaziyyat hansı hallarda qurumu əvəz edə bilər? Dürüst cavab budur: bəzən və heç vaxt xərcsiz deyil.</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Ardınca başqa kriptovalyutalar, ağıllı müqavilələr — zəncirdə saxlanan proqramlar — və təchizat zənciri, sertifikat kimi qeydlər üçün sınaq reyestrləri yarandı. Bir çox layihə uğursuz oldu və ya ümumiyyətlə lazım deyildi. Banklar və hökumətlər fərqli quruluşlardan istifadə edən banklararası rəqəmsal pul sistemlərini sınaqdan keçirdilər. Tənzimləmə, enerji sərfiyyatı və hansı problemin həqiqətən blokçeyn tələb etdiyinə dair anlayış hələ də formalaşır.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Bəzi insanlar ənənəvi bank olmadan ölkələr arasında dəyər köçürmək imkanı qazandı, başqaları isə dələduzluq və kəskin qiymət dəyişmələri səbəbindən yığımlarını itirdi. Pul, enerji və fırıldaqçılıq barədə cəmiyyətdə yeni müzakirələr başlandı. Bəzi rəssamlar və qurumlar blokçeyndən notariat qeydi kimi istifadə etdilər. Tərəqqi uçot reyestri ideyasını yalnız mürəkkəbliyi artırdığı yerdə deyil, həqiqətən zərəri azaltdığı sahədə tətbiq etməkdən asılıdır.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Nakamoto, Satoshi. “Bitcoin: A Peer-to-Peer Electronic Cash System.” 2008.</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https://bitcoin.org/bitcoin.pdf</w:t>
        </w:r>
      </w:hyperlink>
    </w:p>
    <w:p>
      <w:pPr>
        <w:spacing w:after="80"/>
        <w:ind w:left="360"/>
      </w:pPr>
      <w:r>
        <w:rPr>
          <w:rFonts w:ascii="Calibri" w:hAnsi="Calibri" w:eastAsia="Calibri"/>
          <w:b w:val="0"/>
          <w:i w:val="0"/>
          <w:sz w:val="22"/>
        </w:rPr>
        <w:t>2. Haber, Stuart, and W. Scott Stornetta. “How to Time-Stamp a Digital Document.” Journal of Cryptology 3 (1991): 99–111.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“Blockchain” (“Blokçeyn”).</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https://www.britannica.com/money/blockchain</w:t>
        </w:r>
      </w:hyperlink>
    </w:p>
    <w:p>
      <w:pPr>
        <w:spacing w:after="80"/>
        <w:ind w:left="360"/>
      </w:pPr>
      <w:r>
        <w:rPr>
          <w:rFonts w:ascii="Calibri" w:hAnsi="Calibri" w:eastAsia="Calibri"/>
          <w:b w:val="0"/>
          <w:i w:val="0"/>
          <w:sz w:val="22"/>
        </w:rPr>
        <w:t>2. NIST. Blokçeyn texnologiyasına ümumi baxış (NISTIR 8202).</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https://csrc.nist.gov/publications/detail/nistir/8202/final</w:t>
        </w:r>
      </w:hyperlink>
    </w:p>
    <w:p>
      <w:pPr>
        <w:keepNext/>
        <w:spacing w:before="240" w:after="120"/>
      </w:pPr>
      <w:r>
        <w:rPr>
          <w:rFonts w:ascii="Calibri" w:hAnsi="Calibri" w:eastAsia="Calibri"/>
          <w:b/>
          <w:i w:val="0"/>
          <w:color w:val="004E8C"/>
          <w:sz w:val="24"/>
        </w:rPr>
        <w:t>F. Onlayn mühazirələr və maarifləndirici silsilələr</w:t>
      </w:r>
    </w:p>
    <w:p>
      <w:pPr>
        <w:spacing w:after="80"/>
        <w:ind w:left="360"/>
      </w:pPr>
      <w:r>
        <w:rPr>
          <w:rFonts w:ascii="Calibri" w:hAnsi="Calibri" w:eastAsia="Calibri"/>
          <w:b w:val="0"/>
          <w:i w:val="0"/>
          <w:sz w:val="22"/>
        </w:rPr>
        <w:t>1. MIT OpenCourseWare. “Blockchain and Money” (“Blokçeyn və pul”), Qari Gensler, 2018.</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https://ocw.mit.edu/courses/15-s12-blockchain-and-money-fall-2018/</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www.britannica.com/money/blockchain" TargetMode="External"/><Relationship Id="rId11" Type="http://schemas.openxmlformats.org/officeDocument/2006/relationships/hyperlink" Target="https://csrc.nist.gov/publications/detail/nistir/8202/final" TargetMode="External"/><Relationship Id="rId12" Type="http://schemas.openxmlformats.org/officeDocument/2006/relationships/hyperlink" Target="https://ocw.mit.edu/courses/15-s12-blockchain-and-money-fall-20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7.7 Blokçeyn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