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1.18 Aqueducts and Irrigation</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6th-1st millennia BCE onward (early canals and qanats); classical aqueduct ages; ongoing modern systems | Key figure(s): Mesopotamian and Egyptian canal builders; Persian qanat traditions; Roman aqueduct engineers; later irrigation societies worldwide</w:t>
      </w:r>
    </w:p>
    <w:p>
      <w:pPr>
        <w:spacing w:after="160" w:line="276" w:lineRule="auto"/>
      </w:pPr>
      <w:r>
        <w:rPr>
          <w:rFonts w:ascii="Calibri" w:hAnsi="Calibri" w:eastAsia="Calibri"/>
          <w:b w:val="0"/>
          <w:i w:val="0"/>
          <w:sz w:val="22"/>
        </w:rPr>
        <w:t>Aqueducts and irrigation move water from where it is to where people and crops need it. Canals, channels, and raised arcades made cities and farms less hostage to rainfall alone.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River valley civilisations dug canals to water fields beyond the floodplain edge</w:t>
      </w:r>
    </w:p>
    <w:p>
      <w:pPr>
        <w:pStyle w:val="ListBullet"/>
      </w:pPr>
      <w:r>
        <w:rPr>
          <w:rFonts w:ascii="Calibri" w:hAnsi="Calibri" w:eastAsia="Calibri"/>
          <w:b w:val="0"/>
          <w:i w:val="0"/>
          <w:sz w:val="22"/>
        </w:rPr>
        <w:t>Qanats and related tunnels tapped groundwater with gentle gradients</w:t>
      </w:r>
    </w:p>
    <w:p>
      <w:pPr>
        <w:pStyle w:val="ListBullet"/>
      </w:pPr>
      <w:r>
        <w:rPr>
          <w:rFonts w:ascii="Calibri" w:hAnsi="Calibri" w:eastAsia="Calibri"/>
          <w:b w:val="0"/>
          <w:i w:val="0"/>
          <w:sz w:val="22"/>
        </w:rPr>
        <w:t>Roman aqueducts carried spring water into cities on arcades and pipes</w:t>
      </w:r>
    </w:p>
    <w:p>
      <w:pPr>
        <w:pStyle w:val="ListBullet"/>
      </w:pPr>
      <w:r>
        <w:rPr>
          <w:rFonts w:ascii="Calibri" w:hAnsi="Calibri" w:eastAsia="Calibri"/>
          <w:b w:val="0"/>
          <w:i w:val="0"/>
          <w:sz w:val="22"/>
        </w:rPr>
        <w:t>Irrigation raised yields but demanded collective labour and silt management</w:t>
      </w:r>
    </w:p>
    <w:p>
      <w:pPr>
        <w:pStyle w:val="ListBullet"/>
      </w:pPr>
      <w:r>
        <w:rPr>
          <w:rFonts w:ascii="Calibri" w:hAnsi="Calibri" w:eastAsia="Calibri"/>
          <w:b w:val="0"/>
          <w:i w:val="0"/>
          <w:sz w:val="22"/>
        </w:rPr>
        <w:t>Modern dams and canals scale the same logic with concrete and pumps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Aqueducts and irrigation are systems that guide water along controlled paths for drinking, bathing, industry, or crops. An irrigation canal wets fields; an aqueduct may bridge valleys to bring clean spring water to a town. Gravity, slopes, and seals matter more than pumps in early designs. In plain language, people learned to lead water instead of only waiting for rain or flood - like plumbing for a landscape.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Water control has many inventors. Mesopotamian and Egyptian farmers organised canals; Iranian plateau communities perfected qanats; Roman state engineers built monumental aqueducts; Andean, Chinese, and South Asian societies cut their own networks. Named architects appear in inscriptions; most diggers remain anonymous. Collective labour and local hydrology knowledge outweigh any single hero.</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From the sixth millennium BCE onward, canal irrigation intensifies in several river societies. Qanats spread across arid zones in the first millennium BCE and after. Rome's republican and imperial centuries raised stone arcades that still impress. Medieval and early modern states repaired and extended networks; industrial pumps later added lift. Each system matched gradient, silt, and law.</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These works are applied hydrology and surveying: measure fall, keep velocity, settle silt. Roman inverted siphons and gradient rules show quantitative craft. Salinisation and waterlogging taught environmental limits the hard way. Modern civil engineering still optimises the same variables.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Reliable water supported urban baths, fountains, and mills; irrigated surplus fed empires. Legal codes for water rights shaped politics. Later dams, reservoirs, and drip systems inherit canal logic at new scales. Without early water engineering, many classical cities and dryland breadbaskets shrink.</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Farmers could plant farther from the riverbank; city dwellers could drink without walking to a polluted stream. Shared canals also meant disputes, forced labour, and malaria near still water. Landscapes of levees and ditches became ordinary. When irrigation ruled, the farming calendar followed gate openings as much as clouds.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Hodge, A. Trevor. Roman Aqueducts and Water Supply. 2nd ed. London: Duckworth, 2002.</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'Aqueduct.'</w:t>
      </w:r>
      <w:hyperlink r:id="rId9">
        <w:r>
          <w:rPr>
            <w:color w:val="0563C1"/>
            <w:u w:val="single"/>
          </w:rPr>
          <w:t xml:space="preserve">https://www.britannica.com/technology/aqueduct-engineering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'Irrigation.'</w:t>
      </w:r>
      <w:hyperlink r:id="rId10">
        <w:r>
          <w:rPr>
            <w:color w:val="0563C1"/>
            <w:u w:val="single"/>
          </w:rPr>
          <w:t xml:space="preserve">https://www.britannica.com/technology/irrigation</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UNESCO World Heritage Centre. Water-management cultural landscapes.</w:t>
      </w:r>
      <w:hyperlink r:id="rId11">
        <w:r>
          <w:rPr>
            <w:color w:val="0563C1"/>
            <w:u w:val="single"/>
          </w:rPr>
          <w:t xml:space="preserve">https://whc.unesco.org/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queduct-engineering" TargetMode="External"/><Relationship Id="rId10" Type="http://schemas.openxmlformats.org/officeDocument/2006/relationships/hyperlink" Target="https://www.britannica.com/technology/irrigation" TargetMode="External"/><Relationship Id="rId11" Type="http://schemas.openxmlformats.org/officeDocument/2006/relationships/hyperlink" Target="https://whc.unesc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1.18 Aqueducts and Irrigation</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