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7.12 Nuclear Fusion</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mid-20th-century research reactors and weapons physics; decades of magnetic and inertial confinement experiments; ongoing power-plant pursuit | Key figure(s): Plasma physicists worldwide; tokamak and laser-fusion programmes (e.g. ITER partners; national labs)</w:t>
      </w:r>
    </w:p>
    <w:p>
      <w:pPr>
        <w:spacing w:after="160" w:line="276" w:lineRule="auto"/>
      </w:pPr>
      <w:r>
        <w:rPr>
          <w:rFonts w:ascii="Calibri" w:hAnsi="Calibri" w:eastAsia="Calibri"/>
          <w:b w:val="0"/>
          <w:i w:val="0"/>
          <w:sz w:val="22"/>
        </w:rPr>
        <w:t>Nuclear fusion joins light nuclei so that mass converts to energy, the same process that powers stars. Engineers chase controlled fusion as a low-carbon, high-density energy source still being proven at power-plant scale.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Fusion powers the Sun by combining hydrogen isotopes under extreme temperature and pressure</w:t>
      </w:r>
    </w:p>
    <w:p>
      <w:pPr>
        <w:pStyle w:val="ListBullet"/>
      </w:pPr>
      <w:r>
        <w:rPr>
          <w:rFonts w:ascii="Calibri" w:hAnsi="Calibri" w:eastAsia="Calibri"/>
          <w:b w:val="0"/>
          <w:i w:val="0"/>
          <w:sz w:val="22"/>
        </w:rPr>
        <w:t>Magnetic confinement (tokamaks, stellarators) and inertial confinement (lasers) are leading laboratory approaches</w:t>
      </w:r>
    </w:p>
    <w:p>
      <w:pPr>
        <w:pStyle w:val="ListBullet"/>
      </w:pPr>
      <w:r>
        <w:rPr>
          <w:rFonts w:ascii="Calibri" w:hAnsi="Calibri" w:eastAsia="Calibri"/>
          <w:b w:val="0"/>
          <w:i w:val="0"/>
          <w:sz w:val="22"/>
        </w:rPr>
        <w:t>Net energy gain in brief experimental shots has been reported in some facilities, while continuous commercial power remains unachieved</w:t>
      </w:r>
    </w:p>
    <w:p>
      <w:pPr>
        <w:pStyle w:val="ListBullet"/>
      </w:pPr>
      <w:r>
        <w:rPr>
          <w:rFonts w:ascii="Calibri" w:hAnsi="Calibri" w:eastAsia="Calibri"/>
          <w:b w:val="0"/>
          <w:i w:val="0"/>
          <w:sz w:val="22"/>
        </w:rPr>
        <w:t>Fuel cycles often focus on deuterium–tritium with challenges in materials and tritium breeding</w:t>
      </w:r>
    </w:p>
    <w:p>
      <w:pPr>
        <w:pStyle w:val="ListBullet"/>
      </w:pPr>
      <w:r>
        <w:rPr>
          <w:rFonts w:ascii="Calibri" w:hAnsi="Calibri" w:eastAsia="Calibri"/>
          <w:b w:val="0"/>
          <w:i w:val="0"/>
          <w:sz w:val="22"/>
        </w:rPr>
        <w:t>International projects such as ITER aim to demonstrate sustained burning plasmas for research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Nuclear fusion is the merging of light atomic nuclei into heavier ones, releasing energy when the products weigh slightly less than the inputs. On Earth, researchers heat and confine plasma — ionised gas — until collisions fuse isotopes such as deuterium and tritium. Magnetic fields or implosion drivers hold the fuel long enough to react. In everyday language, it is trying to bottle a piece of the Sun safely.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Astrophysicists explained stellar fusion; weapons programmes and civilian labs then pursued terrestrial control. Generations of plasma physicists, engineers, and international consortia built tokamaks, lasers, and diagnostics. No lone inventor will 'finish' fusion; it is a long scientific-industrial campaign. Credit is institutional and collective.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Post-war research established confinement concepts; progress came in jumps of temperature, density, and confinement time. Large machines of the late twentieth and early twenty-first centuries approached break-even metrics without yet delivering grid electricity. Private ventures added compact designs beside megaprojects. Materials that survive neutron flux and heat remain pacing items. The calendar is still 'not yet commercial,' measured in decades of iteration.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Fusion research drove plasma physics, superconducting magnets, high-power lasers, and radiation-resistant materials. It links nuclear physics to engineering at extreme conditions. Diagnostics of turbulent plasma advanced computational science. Scientifically, fusion is a laboratory for stellar processes and for energy denser than chemical fuels.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Spin-offs include medical accelerators, advanced magnets, and plasma processing. Climate policy treats fusion as a possible late-century firm-power option beside fission and renewables. Workforce training in cryogenics and vacuum systems feeds other industries. Investment cycles teach patience and hype management.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is not yet powered by fusion plants; the change is cultural and scientific: a shared long bet on clean baseload. Communities near labs see jobs and debate risk. If commercial fusion arrives, grids and geopolitics of fuel could shift; if delayed, other low-carbon tools must carry the load. Hope itself became an energy-policy variable.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Freidberg, Jeffrey P. Plasma Physics and Fusion Energy. Cambridge: Cambridge University Press, 2007.</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'Nuclear fusion.'</w:t>
      </w:r>
      <w:hyperlink r:id="rId9">
        <w:r>
          <w:rPr>
            <w:color w:val="0563C1"/>
            <w:u w:val="single"/>
          </w:rPr>
          <w:t xml:space="preserve">https://www.britannica.com/science/nuclear-fusion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ITER Organization. Project overview and fusion explainers.</w:t>
      </w:r>
      <w:hyperlink r:id="rId10">
        <w:r>
          <w:rPr>
            <w:color w:val="0563C1"/>
            <w:u w:val="single"/>
          </w:rPr>
          <w:t xml:space="preserve">https://www.iter.org/</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IAEA. Fusion energy.</w:t>
      </w:r>
      <w:hyperlink r:id="rId11">
        <w:r>
          <w:rPr>
            <w:color w:val="0563C1"/>
            <w:u w:val="single"/>
          </w:rPr>
          <w:t xml:space="preserve">https://www.iaea.org/topics/energy/fusion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Energy and nuclear science objects and stories.</w:t>
      </w:r>
      <w:hyperlink r:id="rId12">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Lawrence Livermore National Laboratory. National Ignition Facility — inertial confinement fusion.</w:t>
      </w:r>
      <w:hyperlink r:id="rId13">
        <w:r>
          <w:rPr>
            <w:color w:val="0563C1"/>
            <w:u w:val="single"/>
          </w:rPr>
          <w:t xml:space="preserve">https://lasers.llnl.gov/</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7.12 Nuclear Fusion</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