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7.8 Квантовые вычисления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1980-е годы — теоретические предложения; 1990-е годы — квантовые алгоритмы; XXI век — экспериментальные процессоры и исследования коррекции ошибок | Ключевые фигуры: Ричард Фейнман; Дэвид Дойч; Питер Шор; коллективы университетских и корпоративных лабораторий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Квантовые вычисления используют суперпозицию, запутанность и другие свойства квантовых состояний, чтобы обрабатывать информацию способами, недоступными обычным битам. Технология ещё только развивается, но уже меняет планы исследований в криптографии и материаловедении.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1980-е годы Ричард Фейнман и другие учёные предположили, что квантовые системы смогут моделировать природу лучше классических компьютеров.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Дэвид Дойч сформулировал модель универсального квантового компьютера.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Алгоритм Питера Шора 1994 года показал, что подходящая квантовая машина способна раскладывать числа на множители экспоненциально быстрее известных классических методов.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Квантовые процессоры строят на сверхпроводящих цепях, захваченных ионах, фотонных системах и других физических платформах.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До широкого практического преимущества необходимо решить главные инженерные задачи: исправление ошибок и масштабирование устройств.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Квантовый компьютер хранит информацию в кубитах. Они могут находиться в суперпозиции состояний 0 и 1 и вступать друг с другом в квантовую запутанность. Точно подобранные операции, или квантовые вентили, изменяют эти состояния так, чтобы итоговое измерение давало полезный ответ для определённого класса задач.</w:t>
      </w:r>
    </w:p>
    <w:p>
      <w:pPr>
        <w:keepLines w:val="0"/>
      </w:pPr>
      <w:r>
        <w:t>Это не просто более быстрый ноутбук и не универсальное ускорение любых вычислений, а иной вычислительный ресурс. Говоря проще, квантовая машина превращает странные законы микромира в инструмент: для одних задач чрезвычайно перспективный, для других — не лучше обычного компьютера.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Теоретические основы заложили физики, среди которых Ричард Фейнман и Дэвид Дойч. Затем Питер Шор, Лов Гровер и другие разработчики алгоритмов показали, что на квантовой машине некоторые задачи могут решаться намного быстрее.</w:t>
      </w:r>
    </w:p>
    <w:p>
      <w:pPr>
        <w:keepLines w:val="0"/>
      </w:pPr>
      <w:r>
        <w:t>Экспериментаторы сначала создавали устройства с несколькими кубитами, а позднее — всё более крупные, хотя пока ещё шумные процессоры. У этой области нет единственного изобретателя: её десятилетиями развивает международное научное сообщество.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Основные идеи оформились в 1980-е годы, а алгоритмы следующего десятилетия поставили перед инженерами конкретные цели. В 2000–2020-е годы число экспериментальных кубитов росло благодаря государственным и корпоративным программам.</w:t>
      </w:r>
    </w:p>
    <w:p>
      <w:pPr>
        <w:keepLines w:val="0"/>
      </w:pPr>
      <w:r>
        <w:t>Заявления о «квантовом превосходстве» в узких задачах сопровождались сомнениями из-за высокой частоты ошибок. Тем временем стандарты начали переходить на постквантовую криптографию, готовясь к возможному появлению мощных машин. История квантовых вычислений остаётся открытым исследовательским процессом, а не завершённым выходом потребительского продукта.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Квантовые вычисления связывают информатику с теорией квантовой информации и экспериментальной физикой. Инженерам приходится чрезвычайно точно управлять декогеренцией, шумом и запутанностью.</w:t>
      </w:r>
    </w:p>
    <w:p>
      <w:pPr>
        <w:keepLines w:val="0"/>
      </w:pPr>
      <w:r>
        <w:t>Главными научными применениями считаются моделирование молекул и материалов. Если появятся крупные квантовые машины, криптографии придётся пересмотреть представления о вычислительной сложности. Эта область превращает хрупкое квантовое поведение в управляемый инженерный параметр.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Облачный доступ к небольшим квантовым процессорам помогает готовить новое поколение специалистов. Производители полупроводников и криогенного оборудования приспосабливаются к особым требованиям кубитов.</w:t>
      </w:r>
    </w:p>
    <w:p>
      <w:pPr>
        <w:keepLines w:val="0"/>
      </w:pPr>
      <w:r>
        <w:t>Государства финансируют квантовые сети и датчики как родственные направления. Разработчики программного обеспечения создают гибридные процессы, в которых классические и квантовые вычисления дополняют друг друга.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Пока большинство людей ощущает изменения косвенно — через громкие новости, исследовательские бюджеты и переход на шифрование, рассчитанное на будущие угрозы. Специалисты уже пересматривают алгоритмы и долгосрочные планы информационной безопасности.</w:t>
      </w:r>
    </w:p>
    <w:p>
      <w:pPr>
        <w:keepLines w:val="0"/>
      </w:pPr>
      <w:r>
        <w:t>Циклы завышенных ожиданий и разочарований влияют на инвестиции и образование. Если масштабируемые машины удастся построить, они могут изменить разработку лекарств и решение некоторых оптимизационных задач. Даже если этого не произойдёт, созданные по пути научные приборы и методы останутся ценным результатом.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Nielsen, Michael A., and Isaac L. Chuang. Quantum Computation and Quantum Information. 10th anniversary ed. Cambridge University Press, 2010.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«Quantum computer».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https://www.britannica.com/technology/quantum-computer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NIST. Программы в области квантовой информатики. </w:t>
      </w:r>
      <w:r>
        <w:t xml:space="preserve"> </w:t>
      </w:r>
      <w:hyperlink r:id="rId12">
        <w:r>
          <w:rPr>
            <w:color w:val="0563C1"/>
            <w:u w:val="single"/>
          </w:rPr>
          <w:t>https://www.nist.gov/quantum-information-science</w:t>
        </w:r>
      </w:hyperlink>
    </w:p>
    <w:p>
      <w:pPr>
        <w:pStyle w:val="Heading2"/>
      </w:pPr>
      <w:r>
        <w:t>D. Музеи, архивы и библиотеки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Computer History Museum. Материалы по истории вычислительной техники. </w:t>
      </w:r>
      <w:r>
        <w:t xml:space="preserve"> </w:t>
      </w:r>
      <w:hyperlink r:id="rId13">
        <w:r>
          <w:rPr>
            <w:color w:val="0563C1"/>
            <w:u w:val="single"/>
          </w:rPr>
          <w:t>https://www.computerhistory.org/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 xml:space="preserve">IBM. Что такое квантовые вычисления? </w:t>
      </w:r>
      <w:r>
        <w:t xml:space="preserve"> </w:t>
      </w:r>
      <w:hyperlink r:id="rId14">
        <w:r>
          <w:rPr>
            <w:color w:val="0563C1"/>
            <w:u w:val="single"/>
          </w:rPr>
          <w:t>https://www.ibm.com/topics/quantum-computing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quantum-computer" TargetMode="External"/><Relationship Id="rId12" Type="http://schemas.openxmlformats.org/officeDocument/2006/relationships/hyperlink" Target="https://www.nist.gov/quantum-information-science" TargetMode="External"/><Relationship Id="rId13" Type="http://schemas.openxmlformats.org/officeDocument/2006/relationships/hyperlink" Target="https://www.computerhistory.org/" TargetMode="External"/><Relationship Id="rId14" Type="http://schemas.openxmlformats.org/officeDocument/2006/relationships/hyperlink" Target="https://www.ibm.com/topics/quantum-compu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7.8 Квантовые вычисления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