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Ал сенин акыңа жатчу эмес</w:t>
      </w:r>
    </w:p>
    <w:p>
      <w:pPr>
        <w:jc w:val="left"/>
      </w:pPr>
      <w:r>
        <w:rPr>
          <w:rFonts w:ascii="Arial" w:hAnsi="Arial" w:eastAsia="Arial"/>
          <w:i w:val="0"/>
          <w:color w:val="000000"/>
          <w:sz w:val="22"/>
        </w:rPr>
        <w:t>Чанаккале салгылашында аман калууга мүмкүнчүлүгү бар жарадарларга гана морфин сайышчу экен. Дарыгер Тарык Нусретке алып келген оор жарадарлардын бири өз уулу болуп чыгат. Баласынын өмүрүн сактап калуу мүмкүн эмес экенин көргөн ата ага ийне сайбайт. Эки сааттан кийин шейит кеткен уулунун жансыз денесин кучактаган ата терең кайгы менен: «Мени кечир, уулум, ал сенин акыңа жатчу эмес», — деп шыбырайт.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Кээде эң чоң адилеттик — адамдын өз кызыкчылыгына каршы тура билиши. Акыйкатты тааныган ата өз баласына да бирөөнүн акысын бербейт.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sənin haqqın deyildi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