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1.20 Double-Entry Bookkeeping</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13th-15th centuries CE (Italian mercantile practice); Pacioli's 1494 exposition; global modern accounting | Key figure(s): Italian merchant houses; Luca Pacioli (exposition); earlier ledger traditions across Eurasia</w:t>
      </w:r>
    </w:p>
    <w:p>
      <w:pPr>
        <w:spacing w:after="160" w:line="276" w:lineRule="auto"/>
      </w:pPr>
      <w:r>
        <w:rPr>
          <w:rFonts w:ascii="Calibri" w:hAnsi="Calibri" w:eastAsia="Calibri"/>
          <w:b w:val="0"/>
          <w:i w:val="0"/>
          <w:sz w:val="22"/>
        </w:rPr>
        <w:t>Double-entry bookkeeping records every transaction as both a debit and a credit so the books must balance. It made commercial trust, audit, and company scale thinkable beyond a single memory.</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Medieval Italian merchants refined ledgers that paired every entry</w:t>
      </w:r>
    </w:p>
    <w:p>
      <w:pPr>
        <w:pStyle w:val="ListBullet"/>
      </w:pPr>
      <w:r>
        <w:rPr>
          <w:rFonts w:ascii="Calibri" w:hAnsi="Calibri" w:eastAsia="Calibri"/>
          <w:b w:val="0"/>
          <w:i w:val="0"/>
          <w:sz w:val="22"/>
        </w:rPr>
        <w:t>Luca Pacioli described the Venetian method in print in 1494</w:t>
      </w:r>
    </w:p>
    <w:p>
      <w:pPr>
        <w:pStyle w:val="ListBullet"/>
      </w:pPr>
      <w:r>
        <w:rPr>
          <w:rFonts w:ascii="Calibri" w:hAnsi="Calibri" w:eastAsia="Calibri"/>
          <w:b w:val="0"/>
          <w:i w:val="0"/>
          <w:sz w:val="22"/>
        </w:rPr>
        <w:t>Assets, liabilities, and equity stay linked through balancing accounts</w:t>
      </w:r>
    </w:p>
    <w:p>
      <w:pPr>
        <w:pStyle w:val="ListBullet"/>
      </w:pPr>
      <w:r>
        <w:rPr>
          <w:rFonts w:ascii="Calibri" w:hAnsi="Calibri" w:eastAsia="Calibri"/>
          <w:b w:val="0"/>
          <w:i w:val="0"/>
          <w:sz w:val="22"/>
        </w:rPr>
        <w:t>The system supports error checking because totals must agree</w:t>
      </w:r>
    </w:p>
    <w:p>
      <w:pPr>
        <w:pStyle w:val="ListBullet"/>
      </w:pPr>
      <w:r>
        <w:rPr>
          <w:rFonts w:ascii="Calibri" w:hAnsi="Calibri" w:eastAsia="Calibri"/>
          <w:b w:val="0"/>
          <w:i w:val="0"/>
          <w:sz w:val="22"/>
        </w:rPr>
        <w:t>Modern corporate and national accounts still rest on double-entry logic</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Double-entry bookkeeping records business events so that each transaction appears twice - once as a debit and once as a credit - in linked accounts. The totals must balance, which reveals mistakes and shows what a firm owns and owes. Journals feed ledgers; trial balances test consistency. Think of it as a seesaw: every gift of value needs a matching explanation on the other side. That mirrored writing turned trade from memory into auditable history.</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Italian merchant communities developed the practice before any textbook. Luca Pacioli did not invent it; he explained the Venetian method clearly in 1494, spreading literacy of the craft. Earlier single-entry and memorandum traditions exist across cultures. Counting-house clerks and partners perfected forms through use.</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the thirteenth to fifteenth centuries, Italian trading cities kept sophisticated ledgers for partnerships and overseas ventures. Print then carried Pacioli's exposition across Europe. Dutch, English, and later global firms adapted the grid to joint-stock companies. Spreadsheets and later business-management software still post the same paired debits and credits. Adoption followed credit risk and long-distance trade.</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Double entry is an information technology: conservation of quantified claims. It forces classification and arithmetic checks akin to experimental bookkeeping of reality. Economic history and statistics draw on ledgers as data. Accounting theory later formalised axioms merchants already lived. The method turned vague fortune into quantities that could be compared, audited, and taught.</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Balanced books enabled larger partnerships, banks, and corporations. Auditing professions and tax states grew on verifiable accounts. Cost accounting fed factories; national accounts echo the same duality. Without double entry, industrial capital's paperwork lacks a shared grammar. Finance still speaks debit and credit.</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Merchants could trust distant agents with clearer proofs of honesty - and catch fraud sooner. Workers and investors entered a world of payrolls and balance sheets. The system also abstracted human effort into columns some found cold. Yet household budgets and phone banking apps still echo the old paired entry.</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Pacioli, Luca. Summa de arithmetica, geometria, proportioni et proportionalita. Venice, 1494 (accounting treatise within).</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'Double-entry bookkeeping.'</w:t>
      </w:r>
      <w:hyperlink r:id="rId9">
        <w:r>
          <w:rPr>
            <w:color w:val="0563C1"/>
            <w:u w:val="single"/>
          </w:rPr>
          <w:t xml:space="preserve">https://www.britannica.com/money/double-entry-bookkeeping</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'Accounting.'</w:t>
      </w:r>
      <w:hyperlink r:id="rId10">
        <w:r>
          <w:rPr>
            <w:color w:val="0563C1"/>
            <w:u w:val="single"/>
          </w:rPr>
          <w:t xml:space="preserve">https://www.britannica.com/money/accounting</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'The Father of Accounting.'</w:t>
      </w:r>
      <w:hyperlink r:id="rId11">
        <w:r>
          <w:rPr>
            <w:color w:val="0563C1"/>
            <w:u w:val="single"/>
          </w:rPr>
          <w:t xml:space="preserve">https://www.smithsonianmag.com/history/the-father-of-accounting-180964072/</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money/double-entry-bookkeeping" TargetMode="External"/><Relationship Id="rId10" Type="http://schemas.openxmlformats.org/officeDocument/2006/relationships/hyperlink" Target="https://www.britannica.com/money/accounting" TargetMode="External"/><Relationship Id="rId11" Type="http://schemas.openxmlformats.org/officeDocument/2006/relationships/hyperlink" Target="https://www.smithsonianmag.com/history/the-father-of-accounting-1809640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1.20 Double-Entry Bookkeeping</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