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Calibri" w:hAnsi="Calibri" w:eastAsia="Calibri"/>
          <w:b/>
          <w:i w:val="0"/>
          <w:color w:val="004E8C"/>
          <w:sz w:val="44"/>
        </w:rPr>
        <w:t>4.11 mRNA Vaccines</w:t>
      </w:r>
    </w:p>
    <w:p>
      <w:pPr>
        <w:spacing w:after="80"/>
      </w:pPr>
      <w:r>
        <w:rPr>
          <w:rFonts w:ascii="Calibri" w:hAnsi="Calibri" w:eastAsia="Calibri"/>
          <w:b w:val="0"/>
          <w:i/>
          <w:color w:val="505050"/>
          <w:sz w:val="22"/>
        </w:rPr>
        <w:t>4. Medicine, Biology, and Public Health</w:t>
      </w:r>
    </w:p>
    <w:p>
      <w:pPr>
        <w:spacing w:after="200"/>
      </w:pPr>
      <w:r>
        <w:rPr>
          <w:rFonts w:ascii="Calibri" w:hAnsi="Calibri" w:eastAsia="Calibri"/>
          <w:b w:val="0"/>
          <w:i/>
          <w:sz w:val="22"/>
        </w:rPr>
        <w:t>Period: c. 1990s–2010s (research foundations); 2020–2021 (first large-scale COVID-19 deployment) | Key figure(s): Katalin Karikó; Drew Weissman; later industry and clinical teams that scaled COVID-19 mRNA vaccines</w:t>
      </w:r>
    </w:p>
    <w:p>
      <w:pPr>
        <w:spacing w:after="160" w:line="276" w:lineRule="auto"/>
      </w:pPr>
      <w:r>
        <w:rPr>
          <w:rFonts w:ascii="Calibri" w:hAnsi="Calibri" w:eastAsia="Calibri"/>
          <w:b w:val="0"/>
          <w:i w:val="0"/>
          <w:sz w:val="22"/>
        </w:rPr>
        <w:t>mRNA vaccines deliver temporary genetic instructions that teach cells to make a harmless piece of a pathogen, training the immune system. COVID-19 shots showed the platform could be designed and rolled out at historic speed.</w:t>
      </w:r>
    </w:p>
    <w:p>
      <w:pPr>
        <w:spacing w:before="240" w:after="120"/>
      </w:pPr>
      <w:r>
        <w:rPr>
          <w:rFonts w:ascii="Calibri" w:hAnsi="Calibri" w:eastAsia="Calibri"/>
          <w:b/>
          <w:i w:val="0"/>
          <w:color w:val="004E8C"/>
          <w:sz w:val="28"/>
        </w:rPr>
        <w:t>Key facts</w:t>
      </w:r>
    </w:p>
    <w:p>
      <w:pPr>
        <w:pStyle w:val="ListBullet"/>
      </w:pPr>
      <w:r>
        <w:rPr>
          <w:rFonts w:ascii="Calibri" w:hAnsi="Calibri" w:eastAsia="Calibri"/>
          <w:b w:val="0"/>
          <w:i w:val="0"/>
          <w:sz w:val="22"/>
        </w:rPr>
        <w:t>Messenger RNA carries temporary instructions; it does not edit the cell's DNA</w:t>
      </w:r>
    </w:p>
    <w:p>
      <w:pPr>
        <w:pStyle w:val="ListBullet"/>
      </w:pPr>
      <w:r>
        <w:rPr>
          <w:rFonts w:ascii="Calibri" w:hAnsi="Calibri" w:eastAsia="Calibri"/>
          <w:b w:val="0"/>
          <w:i w:val="0"/>
          <w:sz w:val="22"/>
        </w:rPr>
        <w:t>Karikó and Weissman's work on modified RNA reduced dangerous immune overreactions to synthetic mRNA</w:t>
      </w:r>
    </w:p>
    <w:p>
      <w:pPr>
        <w:pStyle w:val="ListBullet"/>
      </w:pPr>
      <w:r>
        <w:rPr>
          <w:rFonts w:ascii="Calibri" w:hAnsi="Calibri" w:eastAsia="Calibri"/>
          <w:b w:val="0"/>
          <w:i w:val="0"/>
          <w:sz w:val="22"/>
        </w:rPr>
        <w:t>Lipid nanoparticles help mRNA enter cells intact</w:t>
      </w:r>
    </w:p>
    <w:p>
      <w:pPr>
        <w:pStyle w:val="ListBullet"/>
      </w:pPr>
      <w:r>
        <w:rPr>
          <w:rFonts w:ascii="Calibri" w:hAnsi="Calibri" w:eastAsia="Calibri"/>
          <w:b w:val="0"/>
          <w:i w:val="0"/>
          <w:sz w:val="22"/>
        </w:rPr>
        <w:t>COVID-19 mRNA vaccines were authorised after large clinical trials in 2020–2021</w:t>
      </w:r>
    </w:p>
    <w:p>
      <w:pPr>
        <w:pStyle w:val="ListBullet"/>
      </w:pPr>
      <w:r>
        <w:rPr>
          <w:rFonts w:ascii="Calibri" w:hAnsi="Calibri" w:eastAsia="Calibri"/>
          <w:b w:val="0"/>
          <w:i w:val="0"/>
          <w:sz w:val="22"/>
        </w:rPr>
        <w:t>The same platform is being explored for other infectious diseases and some cancers</w:t>
      </w:r>
    </w:p>
    <w:p>
      <w:pPr>
        <w:spacing w:before="240" w:after="120"/>
      </w:pPr>
      <w:r>
        <w:rPr>
          <w:rFonts w:ascii="Calibri" w:hAnsi="Calibri" w:eastAsia="Calibri"/>
          <w:b/>
          <w:i w:val="0"/>
          <w:color w:val="004E8C"/>
          <w:sz w:val="28"/>
        </w:rPr>
        <w:t>What it is</w:t>
      </w:r>
    </w:p>
    <w:p>
      <w:pPr>
        <w:spacing w:after="160" w:line="276" w:lineRule="auto"/>
      </w:pPr>
      <w:r>
        <w:rPr>
          <w:rFonts w:ascii="Calibri" w:hAnsi="Calibri" w:eastAsia="Calibri"/>
          <w:b w:val="0"/>
          <w:i w:val="0"/>
          <w:sz w:val="22"/>
        </w:rPr>
        <w:t>An mRNA vaccine is a shot that contains synthetic messenger RNA wrapped for delivery into cells. The RNA tells those cells to build a protein that resembles part of a virus; the immune system learns the shape and later recognises the real pathogen. The RNA is short-lived and does not settle into the genome. Unlike many older vaccines, the factory need not grow the whole virus — it manufactures a sequence. Think of a temporary recipe card the body reads once, then discards.</w:t>
      </w:r>
    </w:p>
    <w:p>
      <w:pPr>
        <w:spacing w:before="240" w:after="120"/>
      </w:pPr>
      <w:r>
        <w:rPr>
          <w:rFonts w:ascii="Calibri" w:hAnsi="Calibri" w:eastAsia="Calibri"/>
          <w:b/>
          <w:i w:val="0"/>
          <w:color w:val="004E8C"/>
          <w:sz w:val="28"/>
        </w:rPr>
        <w:t>Who discovered or invented it</w:t>
      </w:r>
    </w:p>
    <w:p>
      <w:pPr>
        <w:spacing w:after="160" w:line="276" w:lineRule="auto"/>
      </w:pPr>
      <w:r>
        <w:rPr>
          <w:rFonts w:ascii="Calibri" w:hAnsi="Calibri" w:eastAsia="Calibri"/>
          <w:b w:val="0"/>
          <w:i w:val="0"/>
          <w:sz w:val="22"/>
        </w:rPr>
        <w:t>Decades of molecular biology on messenger RNA set the stage. Katalin Karikó and Drew Weissman showed how to modify RNA bases so the body would not treat therapeutic mRNA as a violent alarm — work later recognised with a Nobel Prize. Companies and public consortia then engineered COVID-19 spike-encoding vaccines and lipid delivery systems at scale. Credit is shared between foundational labs and the teams that ran trials under pandemic pressure.</w:t>
      </w:r>
    </w:p>
    <w:p>
      <w:pPr>
        <w:spacing w:before="240" w:after="120"/>
      </w:pPr>
      <w:r>
        <w:rPr>
          <w:rFonts w:ascii="Calibri" w:hAnsi="Calibri" w:eastAsia="Calibri"/>
          <w:b/>
          <w:i w:val="0"/>
          <w:color w:val="004E8C"/>
          <w:sz w:val="28"/>
        </w:rPr>
        <w:t>When and how it emerged</w:t>
      </w:r>
    </w:p>
    <w:p>
      <w:pPr>
        <w:spacing w:after="160" w:line="276" w:lineRule="auto"/>
      </w:pPr>
      <w:r>
        <w:rPr>
          <w:rFonts w:ascii="Calibri" w:hAnsi="Calibri" w:eastAsia="Calibri"/>
          <w:b w:val="0"/>
          <w:i w:val="0"/>
          <w:sz w:val="22"/>
        </w:rPr>
        <w:t>Laboratory mRNA vaccine ideas circulated from the 1990s; delivery and stability problems slowed clinical use. Modified nucleosides and nanoparticle carriers matured in the 2000s–2010s. When SARS-CoV-2 spread in 2020, sequence data allowed rapid redesign of mRNA constructs already in platform development. Mass campaigns followed regulatory review of efficacy and safety data. Cold-chain logistics and public trust became as decisive as the chemistry.</w:t>
      </w:r>
    </w:p>
    <w:p>
      <w:pPr>
        <w:spacing w:before="240" w:after="120"/>
      </w:pPr>
      <w:r>
        <w:rPr>
          <w:rFonts w:ascii="Calibri" w:hAnsi="Calibri" w:eastAsia="Calibri"/>
          <w:b/>
          <w:i w:val="0"/>
          <w:color w:val="004E8C"/>
          <w:sz w:val="28"/>
        </w:rPr>
        <w:t>Why it mattered scientifically</w:t>
      </w:r>
    </w:p>
    <w:p>
      <w:pPr>
        <w:spacing w:after="160" w:line="276" w:lineRule="auto"/>
      </w:pPr>
      <w:r>
        <w:rPr>
          <w:rFonts w:ascii="Calibri" w:hAnsi="Calibri" w:eastAsia="Calibri"/>
          <w:b w:val="0"/>
          <w:i w:val="0"/>
          <w:sz w:val="22"/>
        </w:rPr>
        <w:t>mRNA vaccines prove that information — a nucleotide sequence — can be a pharmaceutical. They link immunology, the structure of viral proteins, and lipid chemistry. Adverse-event monitoring at population scale is itself a scientific system. The platform shortens the path from pathogen sequence to candidate shot. It is programmable protection grounded in the usual flow of biological information: DNA is copied into RNA, and RNA guides the making of protein.</w:t>
      </w:r>
    </w:p>
    <w:p>
      <w:pPr>
        <w:spacing w:before="240" w:after="120"/>
      </w:pPr>
      <w:r>
        <w:rPr>
          <w:rFonts w:ascii="Calibri" w:hAnsi="Calibri" w:eastAsia="Calibri"/>
          <w:b/>
          <w:i w:val="0"/>
          <w:color w:val="004E8C"/>
          <w:sz w:val="28"/>
        </w:rPr>
        <w:t>How it shaped later developments</w:t>
      </w:r>
    </w:p>
    <w:p>
      <w:pPr>
        <w:spacing w:after="160" w:line="276" w:lineRule="auto"/>
      </w:pPr>
      <w:r>
        <w:rPr>
          <w:rFonts w:ascii="Calibri" w:hAnsi="Calibri" w:eastAsia="Calibri"/>
          <w:b w:val="0"/>
          <w:i w:val="0"/>
          <w:sz w:val="22"/>
        </w:rPr>
        <w:t>Pipeline candidates now target other viruses and personalised cancer antigens. Manufacturing of nucleotides and lipids became strategic infrastructure. Public debate over mandates, rare side effects, and misinformation reshaped health communication. Future pandemic playbooks assume sequence-to-vaccine speed. The COVID deployment locked mRNA into the toolkit of modern medicine.</w:t>
      </w:r>
    </w:p>
    <w:p>
      <w:pPr>
        <w:spacing w:before="240" w:after="120"/>
      </w:pPr>
      <w:r>
        <w:rPr>
          <w:rFonts w:ascii="Calibri" w:hAnsi="Calibri" w:eastAsia="Calibri"/>
          <w:b/>
          <w:i w:val="0"/>
          <w:color w:val="004E8C"/>
          <w:sz w:val="28"/>
        </w:rPr>
        <w:t>How it changed human life</w:t>
      </w:r>
    </w:p>
    <w:p>
      <w:pPr>
        <w:spacing w:after="160" w:line="276" w:lineRule="auto"/>
      </w:pPr>
      <w:r>
        <w:rPr>
          <w:rFonts w:ascii="Calibri" w:hAnsi="Calibri" w:eastAsia="Calibri"/>
          <w:b w:val="0"/>
          <w:i w:val="0"/>
          <w:sz w:val="22"/>
        </w:rPr>
        <w:t>Hundreds of millions received COVID-19 mRNA doses that sharply cut severe disease in trials and real-world data. Schools, travel, and hospitals turned partly on vaccine access and uptake. Fear and hope mixed; some communities were left behind by distribution gaps. For many, the quiet fact was personal: a sore arm and a lower chance of the worst outcomes of a new virus.</w:t>
      </w:r>
    </w:p>
    <w:p>
      <w:pPr>
        <w:spacing w:before="240" w:after="120"/>
      </w:pPr>
      <w:r>
        <w:rPr>
          <w:rFonts w:ascii="Calibri" w:hAnsi="Calibri" w:eastAsia="Calibri"/>
          <w:b/>
          <w:i w:val="0"/>
          <w:color w:val="004E8C"/>
          <w:sz w:val="28"/>
        </w:rPr>
        <w:t>Sources and references</w:t>
      </w:r>
    </w:p>
    <w:p>
      <w:pPr>
        <w:spacing w:before="240" w:after="120"/>
      </w:pPr>
      <w:r>
        <w:rPr>
          <w:rFonts w:ascii="Calibri" w:hAnsi="Calibri" w:eastAsia="Calibri"/>
          <w:b/>
          <w:i w:val="0"/>
          <w:color w:val="004E8C"/>
          <w:sz w:val="24"/>
        </w:rPr>
        <w:t>A. Books and major scholarly works</w:t>
      </w:r>
    </w:p>
    <w:p>
      <w:pPr>
        <w:spacing w:after="80"/>
        <w:ind w:left="360"/>
      </w:pPr>
      <w:r>
        <w:rPr>
          <w:rFonts w:ascii="Calibri" w:hAnsi="Calibri" w:eastAsia="Calibri"/>
          <w:b w:val="0"/>
          <w:i w:val="0"/>
          <w:sz w:val="22"/>
        </w:rPr>
        <w:t xml:space="preserve">1. </w:t>
      </w:r>
      <w:r>
        <w:rPr>
          <w:rFonts w:ascii="Calibri" w:hAnsi="Calibri" w:eastAsia="Calibri"/>
          <w:b w:val="0"/>
          <w:i w:val="0"/>
          <w:sz w:val="22"/>
        </w:rPr>
        <w:t>Offit, Paul A. Tell Me When It's Over: An Insider's Guide to Deciphering COVID Myths and Navigating Our Post-Pandemic World. Washington, DC: National Geographic, 2024.</w:t>
      </w:r>
    </w:p>
    <w:p>
      <w:pPr>
        <w:spacing w:before="240" w:after="120"/>
      </w:pPr>
      <w:r>
        <w:rPr>
          <w:rFonts w:ascii="Calibri" w:hAnsi="Calibri" w:eastAsia="Calibri"/>
          <w:b/>
          <w:i w:val="0"/>
          <w:color w:val="004E8C"/>
          <w:sz w:val="24"/>
        </w:rPr>
        <w:t>C. Institutional and encyclopedic sources</w:t>
      </w:r>
    </w:p>
    <w:p>
      <w:pPr>
        <w:spacing w:after="80"/>
        <w:ind w:left="360"/>
      </w:pPr>
      <w:r>
        <w:rPr>
          <w:rFonts w:ascii="Calibri" w:hAnsi="Calibri" w:eastAsia="Calibri"/>
          <w:b w:val="0"/>
          <w:i w:val="0"/>
          <w:sz w:val="22"/>
        </w:rPr>
        <w:t xml:space="preserve">1. </w:t>
      </w:r>
      <w:r>
        <w:rPr>
          <w:rFonts w:ascii="Calibri" w:hAnsi="Calibri" w:eastAsia="Calibri"/>
          <w:b w:val="0"/>
          <w:i w:val="0"/>
          <w:sz w:val="22"/>
        </w:rPr>
        <w:t>Nobel Prize. The Nobel Prize in Physiology or Medicine 2023 (Karikó and Weissman).</w:t>
      </w:r>
      <w:hyperlink r:id="rId9">
        <w:r>
          <w:rPr>
            <w:color w:val="0563C1"/>
            <w:u w:val="single"/>
          </w:rPr>
          <w:t xml:space="preserve">https://www.nobelprize.org/prizes/medicine/2023/summary/</w:t>
        </w:r>
      </w:hyperlink>
    </w:p>
    <w:p>
      <w:pPr>
        <w:spacing w:after="80"/>
        <w:ind w:left="360"/>
      </w:pPr>
      <w:r>
        <w:rPr>
          <w:rFonts w:ascii="Calibri" w:hAnsi="Calibri" w:eastAsia="Calibri"/>
          <w:b w:val="0"/>
          <w:i w:val="0"/>
          <w:sz w:val="22"/>
        </w:rPr>
        <w:t xml:space="preserve">2. </w:t>
      </w:r>
      <w:r>
        <w:rPr>
          <w:rFonts w:ascii="Calibri" w:hAnsi="Calibri" w:eastAsia="Calibri"/>
          <w:b w:val="0"/>
          <w:i w:val="0"/>
          <w:sz w:val="22"/>
        </w:rPr>
        <w:t>World Health Organization. COVID-19 vaccines.</w:t>
      </w:r>
      <w:hyperlink r:id="rId10">
        <w:r>
          <w:rPr>
            <w:color w:val="0563C1"/>
            <w:u w:val="single"/>
          </w:rPr>
          <w:t xml:space="preserve">https://www.who.int/emergencies/diseases/novel-coronavirus-2019/covid-19-vaccines</w:t>
        </w:r>
      </w:hyperlink>
    </w:p>
    <w:p>
      <w:pPr>
        <w:spacing w:after="80"/>
        <w:ind w:left="360"/>
      </w:pPr>
      <w:r>
        <w:rPr>
          <w:rFonts w:ascii="Calibri" w:hAnsi="Calibri" w:eastAsia="Calibri"/>
          <w:b w:val="0"/>
          <w:i w:val="0"/>
          <w:sz w:val="22"/>
        </w:rPr>
        <w:t xml:space="preserve">3. </w:t>
      </w:r>
      <w:r>
        <w:rPr>
          <w:rFonts w:ascii="Calibri" w:hAnsi="Calibri" w:eastAsia="Calibri"/>
          <w:b w:val="0"/>
          <w:i w:val="0"/>
          <w:sz w:val="22"/>
        </w:rPr>
        <w:t>Encyclopaedia Britannica. 'mRNA vaccine.'</w:t>
      </w:r>
      <w:hyperlink r:id="rId11">
        <w:r>
          <w:rPr>
            <w:color w:val="0563C1"/>
            <w:u w:val="single"/>
          </w:rPr>
          <w:t xml:space="preserve">https://www.britannica.com/science/mRNA-vaccine</w:t>
        </w:r>
      </w:hyperlink>
    </w:p>
    <w:p>
      <w:pPr>
        <w:spacing w:before="240" w:after="120"/>
      </w:pPr>
      <w:r>
        <w:rPr>
          <w:rFonts w:ascii="Calibri" w:hAnsi="Calibri" w:eastAsia="Calibri"/>
          <w:b/>
          <w:i w:val="0"/>
          <w:color w:val="004E8C"/>
          <w:sz w:val="24"/>
        </w:rPr>
        <w:t>J. Press, popular science, and general reference</w:t>
      </w:r>
    </w:p>
    <w:p>
      <w:pPr>
        <w:spacing w:after="80"/>
        <w:ind w:left="360"/>
      </w:pPr>
      <w:r>
        <w:rPr>
          <w:rFonts w:ascii="Calibri" w:hAnsi="Calibri" w:eastAsia="Calibri"/>
          <w:b w:val="0"/>
          <w:i w:val="0"/>
          <w:sz w:val="22"/>
        </w:rPr>
        <w:t xml:space="preserve">1. </w:t>
      </w:r>
      <w:r>
        <w:rPr>
          <w:rFonts w:ascii="Calibri" w:hAnsi="Calibri" w:eastAsia="Calibri"/>
          <w:b w:val="0"/>
          <w:i w:val="0"/>
          <w:sz w:val="22"/>
        </w:rPr>
        <w:t>Nature. News feature on mRNA vaccine science and deployment.</w:t>
      </w:r>
      <w:hyperlink r:id="rId12">
        <w:r>
          <w:rPr>
            <w:color w:val="0563C1"/>
            <w:u w:val="single"/>
          </w:rPr>
          <w:t xml:space="preserve">https://www.nature.com/articles/d41586-020-03626-1</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nobelprize.org/prizes/medicine/2023/summary/" TargetMode="External"/><Relationship Id="rId10" Type="http://schemas.openxmlformats.org/officeDocument/2006/relationships/hyperlink" Target="https://www.who.int/emergencies/diseases/novel-coronavirus-2019/covid-19-vaccines" TargetMode="External"/><Relationship Id="rId11" Type="http://schemas.openxmlformats.org/officeDocument/2006/relationships/hyperlink" Target="https://www.britannica.com/science/mRNA-vaccine" TargetMode="External"/><Relationship Id="rId12" Type="http://schemas.openxmlformats.org/officeDocument/2006/relationships/hyperlink" Target="https://www.nature.com/articles/d41586-020-03626-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4.11 mRNA Vaccines</dc:title>
  <dc:subject>4. Medicine, Biology, and Public Health</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