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Xəyal qurmaq</w:t>
      </w:r>
    </w:p>
    <w:p>
      <w:pPr>
        <w:keepNext/>
        <w:spacing w:after="80"/>
      </w:pPr>
      <w:r>
        <w:t>Allah nəsib etməyəcəyi şeyi xəyal etdirməz.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Ürəyə düşən hər xəyalın bir hikməti var. Allah nəsib etməyəcəyi arzunu ürəyə salmaz — ümidini itirmə.</w:t>
      </w:r>
    </w:p>
    <w:p>
      <w:pPr>
        <w:spacing w:after="80"/>
      </w:pPr>
      <w:r>
        <w:rPr>
          <w:i/>
          <w:sz w:val="18"/>
        </w:rPr>
        <w:t>Hekayələr internetdən toplanıb və süni intellekt vasitəsilə işlənib. Bütün illüstrasiyalar süni intellektlə yaradılıb.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Xəyal qurmaq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