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Общение</w:t>
      </w:r>
    </w:p>
    <w:p>
      <w:pPr>
        <w:keepNext/>
      </w:pPr>
      <w:r>
        <w:t>Если часто общаться со стариками и с детьми, в одних увидишь опыт, а в других — чистоту.</w:t>
      </w:r>
    </w:p>
    <w:p>
      <w:pPr>
        <w:keepNext/>
        <w:keepLines/>
        <w:spacing w:before="160" w:after="80"/>
      </w:pPr>
      <w:r>
        <w:rPr>
          <w:b/>
        </w:rPr>
        <w:t>Мораль: У каждого возраста есть чему поучиться: у старших — опыту, у детей — чистоте.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Общение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