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Внешний вид дервиша</w:t>
      </w:r>
    </w:p>
    <w:p>
      <w:pPr>
        <w:spacing w:after="80"/>
      </w:pPr>
      <w:r>
        <w:t>Однажды дервиша спросили:</w:t>
      </w:r>
    </w:p>
    <w:p>
      <w:pPr>
        <w:spacing w:after="80"/>
      </w:pPr>
      <w:r>
        <w:t>— Почему твоя одежда такая неопрятная?</w:t>
      </w:r>
    </w:p>
    <w:p>
      <w:pPr>
        <w:spacing w:after="80"/>
      </w:pPr>
      <w:r>
        <w:t>Он ответил:</w:t>
      </w:r>
    </w:p>
    <w:p>
      <w:pPr>
        <w:keepNext/>
        <w:spacing w:after="80"/>
      </w:pPr>
      <w:r>
        <w:t>— Я так занят заботой о душе, что на заботу о внешности у меня почти не остаётся времени.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Тот, кто старается сделать прекраснее свой внутренний мир, не судит о человеке по внешности. Настоящая красота — не в одежде, а в чистоте сердца и свете души.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вид дервиша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