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делайте этих вещей</w:t>
      </w:r>
    </w:p>
    <w:p>
      <w:pPr>
        <w:keepNext/>
      </w:pPr>
      <w:r>
        <w:t>Не говорите о своем богатстве перед бедными, о своем здоровье перед больными, о своём счастье перед тем, кто в горе, о своей свободе перед заключенными, о своей силе перед слабыми, о своих детях перед бездетными или о своих родителях перед сиротой.</w:t>
      </w:r>
    </w:p>
    <w:p>
      <w:pPr>
        <w:keepNext/>
        <w:keepLines/>
        <w:spacing w:before="160" w:after="80"/>
      </w:pPr>
      <w:r>
        <w:rPr>
          <w:b/>
        </w:rPr>
        <w:t>Мораль: Не хвалитесь благом, которого другой лишён, и не бередьте его рану. Ему нужно понимание, а не напоминание о его горе.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делайте этого.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