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Есть ли у вас деньги на расходы?</w:t>
      </w:r>
    </w:p>
    <w:p>
      <w:pPr>
        <w:keepNext/>
      </w:pPr>
      <w:r>
        <w:t>Цените родителей, пока они живы. Не ограничивайтесь вопросом: «Есть ли у вас деньги на расходы?» Помогайте им по мере сил, заботьтесь о том, в чём они нуждаются. Никто не сможет заменить их.</w:t>
      </w:r>
    </w:p>
    <w:p>
      <w:pPr>
        <w:keepNext/>
        <w:keepLines/>
        <w:spacing w:before="160"/>
      </w:pPr>
      <w:r>
        <w:rPr>
          <w:b/>
        </w:rPr>
        <w:t>Мораль: Цените своих родителей, пока они живы, удовлетворяйте их потребности делами, а не словами. Никто и ничто не сможет занять их место.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Есть ли у вас деньги?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