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Муха в посудной лавке</w:t>
      </w:r>
    </w:p>
    <w:p>
      <w:pPr/>
      <w:r>
        <w:t>Если муха захочет разгромить лавку фарфора, ей это будет не под силу. Но если она залетит в ухо быку, обезумевшее от испуга животное может разнести всю лавку.</w:t>
      </w:r>
    </w:p>
    <w:p>
      <w:pPr>
        <w:keepNext/>
      </w:pPr>
      <w:r>
        <w:t>Муха здесь олицетворяет суеверие, ложь и предубеждение. Бык же символизирует невежественного человека, который действует не раздумывая.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Небольшая ложь, попавшая в уши невежды, способна привести к огромным разрушениям. Защитой от неё служат знания, критическое мышление и твёрдые нравственные ценности.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Муха в посудной лавке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