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 целую твои глаза</w:t>
      </w:r>
    </w:p>
    <w:p>
      <w:pPr>
        <w:spacing w:after="80"/>
      </w:pPr>
      <w:r>
        <w:t>Знаешь, почему говорят: «Я целую твои глаза»?</w:t>
      </w:r>
    </w:p>
    <w:p>
      <w:pPr>
        <w:keepNext/>
      </w:pPr>
      <w:r>
        <w:t>Потому что боль тоски сильнее всех переносят глаза. Поэтому именно они больше всех достойны встречи.</w:t>
      </w:r>
    </w:p>
    <w:p>
      <w:pPr>
        <w:keepNext/>
        <w:keepLines/>
        <w:spacing w:before="160" w:after="80"/>
      </w:pPr>
      <w:r>
        <w:rPr>
          <w:b/>
        </w:rPr>
        <w:t>Мораль: Тот, кто тосковал сильнее всех, больше всех достоин встречи. Любовь воздаёт тому, кто нёс её труд.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целую твои глаза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