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Пусть нужная тебе молитва сама тебя найдёт</w:t>
      </w:r>
    </w:p>
    <w:p>
      <w:pPr>
        <w:spacing w:after="80"/>
      </w:pPr>
      <w:r>
        <w:t>Наши старейшины говорили:</w:t>
      </w:r>
    </w:p>
    <w:p>
      <w:pPr>
        <w:keepNext/>
      </w:pPr>
      <w:r>
        <w:t>Будь рукой, которая поддержит бедного; дверью, в которую сможет постучать нуждающийся; рукой, гладящей сироту по голове; обувью на ногах ребёнка. Открой путь попавшему в беду и помоги тому, чьи дела стали трудны — и тогда молитва, в которой однажды будешь нуждаться ты сам, найдёт тебя.</w:t>
      </w:r>
    </w:p>
    <w:p>
      <w:pPr>
        <w:keepNext/>
        <w:keepLines/>
        <w:spacing w:before="160"/>
      </w:pPr>
      <w:r>
        <w:rPr>
          <w:b/>
        </w:rPr>
        <w:t>Мораль: Кто протягивает руку нуждающемуся и гладит сироту по голове, сам становится достоин молитвы. Помощь, которую оказываешь другим, однажды тоже откроется тебе.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Пусть нужная тебе молитва сама тебя найдёт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