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Жить прошлым</w:t>
      </w:r>
    </w:p>
    <w:p>
      <w:pPr>
        <w:keepNext/>
      </w:pPr>
      <w:r>
        <w:t>Жить прошлым — всё равно что идти, оглядываясь назад. Не глядя вперёд, будешь постоянно спотыкаться и падать. При этом ни того, что осталось позади, не изменишь, ни дверей впереди не откроешь.</w:t>
      </w:r>
    </w:p>
    <w:p>
      <w:pPr>
        <w:keepNext/>
        <w:keepLines/>
        <w:spacing w:before="160"/>
      </w:pPr>
      <w:r>
        <w:rPr>
          <w:b/>
        </w:rPr>
        <w:t>Мораль: Кто всё время смотрит назад, не видит препятствия впереди. Прошлое не вернёшь; поверни лицо вперёд и увидь возможности перед собой.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Жить прошлым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