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Насмешки недопустимы.</w:t>
      </w:r>
    </w:p>
    <w:p>
      <w:pPr>
        <w:keepNext/>
      </w:pPr>
      <w:r>
        <w:t>Мы должны с раннего возраста учить наших детей тому, что недопустимо высмеивать или унижать других людей за их отличия или внешность.</w:t>
      </w:r>
    </w:p>
    <w:p>
      <w:pPr>
        <w:keepNext/>
        <w:keepLines/>
        <w:spacing w:before="160"/>
      </w:pPr>
      <w:r>
        <w:rPr>
          <w:b/>
        </w:rPr>
        <w:t>Мораль: Высмеивать чужое отличие или внешность — низость. Этому надо учить детей с самого раннего возраста.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Насмешки недопустимы.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