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Второй закон Ньютона</w:t>
      </w:r>
    </w:p>
    <w:p>
      <w:pPr>
        <w:keepNext/>
      </w:pPr>
      <w:r>
        <w:t>Учитель физики заходит в учительскую после урока и жалуется коллегам: «Какие же глупые эти ученики! Я трижды объяснял им второй закон Ньютона, и наконец сам его понял, но они всё равно ничего не поняли».</w:t>
      </w:r>
    </w:p>
    <w:p>
      <w:pPr>
        <w:keepNext/>
        <w:keepLines/>
        <w:spacing w:before="160"/>
      </w:pPr>
      <w:r>
        <w:rPr>
          <w:b/>
        </w:rPr>
        <w:t>Мораль: Прежде чем учить других, разберись сам. Объяснять, самому не понимая, не приносит пользы ни учителю, ни ученику.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Второй закон Ньютона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