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Молитесь, когда моете посуду</w:t>
      </w:r>
    </w:p>
    <w:p>
      <w:pPr/>
      <w:r>
        <w:t>Молитесь, когда моете посуду. Будьте благодарны за то, что у вас есть посуда, которую нужно мыть. Потому что это показывает, что у вас есть еда, что вы накормили кого-то, что вы позаботились о ком-то, что вы приготовили еду и накрыли стол.</w:t>
      </w:r>
    </w:p>
    <w:p>
      <w:pPr>
        <w:keepNext/>
        <w:spacing w:after="80"/>
      </w:pPr>
      <w:r>
        <w:t>Вспомните тех, у кого нет даже посуды, которую нужно мыть, и не для кого накрыть стол.</w:t>
      </w:r>
    </w:p>
    <w:p>
      <w:pPr>
        <w:keepNext/>
        <w:keepLines/>
        <w:spacing w:before="160"/>
      </w:pPr>
      <w:r>
        <w:rPr>
          <w:b/>
        </w:rPr>
        <w:t>Мораль: Будьте благодарны за простые вещи, которые у вас есть: если есть посуда, которую нужно мыть, значит, на ваш стол пришла еда и вы кого-то накормили. Не забывайте благодарить.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Молитесь, моя посуду.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