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Milçək çini qablar dükanında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Bir milçək çini qablar dükanını dağıtmaq istəsə, gücü çatmaz; amma bir öküzün qulağına girsə, o öküz panika içində dükanı dağıdar.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O milçək mövhumatdan, yalandan və ya qərəzdən başqa bir şey deyil. O öküz isə başıboş, cahil insanın özüdür.</w:t>
      </w:r>
    </w:p>
    <w:p>
      <w:pPr>
        <w:spacing w:after="40"/>
      </w:pPr>
    </w:p>
    <w:p>
      <w:pPr>
        <w:pBdr>
          <w:top w:val="single" w:sz="4" w:space="6" w:color="D9C7A3"/>
          <w:left w:val="single" w:sz="24" w:space="12" w:color="B8860B"/>
          <w:bottom w:val="single" w:sz="4" w:space="6" w:color="D9C7A3"/>
          <w:right w:val="single" w:sz="4" w:space="10" w:color="D9C7A3"/>
        </w:pBdr>
        <w:shd w:val="clear" w:color="auto" w:fill="FBF6EA"/>
        <w:spacing w:before="0" w:after="60"/>
        <w:ind w:left="227" w:right="113"/>
        <w:jc w:val="both"/>
      </w:pPr>
      <w:r>
        <w:rPr>
          <w:rFonts w:ascii="Times New Roman" w:hAnsi="Times New Roman" w:cs="Times New Roman"/>
          <w:b w:val="0"/>
          <w:i/>
          <w:color w:val="333333"/>
          <w:sz w:val="24"/>
        </w:rPr>
        <w:t>Kiçik bir yalan cahilin qulağına girəndə böyük dağıntıya çevrilir. Ondan qorunmağın yolu elm və mənəvi dəyərlərdir.</w:t>
      </w:r>
    </w:p>
    <w:p>
      <w:pPr>
        <w:spacing w:after="120"/>
      </w:pP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Times New Roman" w:hAnsi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jc w:val="left"/>
      <w:outlineLvl w:val="0"/>
    </w:pPr>
    <w:rPr>
      <w:rFonts w:asciiTheme="majorHAnsi" w:eastAsiaTheme="majorEastAsia" w:hAnsiTheme="majorHAnsi" w:cstheme="majorBidi" w:ascii="Times New Roman" w:hAnsi="Times New Roman" w:cs="Times New Roman"/>
      <w:b/>
      <w:bCs/>
      <w:i w:val="0"/>
      <w:color w:val="1F1F1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