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Problemə münasibət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Həyatınızda probleminiz var? — Yox.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Onda narahat olmağa dəyməz.</w:t>
      </w:r>
    </w:p>
    <w:p>
      <w:pPr>
        <w:spacing w:before="80" w:after="80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909090"/>
          <w:sz w:val="24"/>
        </w:rPr>
        <w:t>* * *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Həyatınızda probleminiz var? — Hə.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problemə çarə tapa biləcəksinizmi? — Hə.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Onda narahat olmağa dəyməz.</w:t>
      </w:r>
    </w:p>
    <w:p>
      <w:pPr>
        <w:spacing w:before="80" w:after="80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909090"/>
          <w:sz w:val="24"/>
        </w:rPr>
        <w:t>* * *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Həyatınızda probleminiz var? — Hə.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problemə çarə tapa biləcəksinizmi? — Yox.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Onda narahat olmağa dəyməz.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Ya problemin yoxdur, ya da çarəsi var — hər halda narahat olmağa dəyməz. Həll oluna bilənə də, olunmayana da üzülmək eyni dərəcədə faydasızdır.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