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Yuvanın qurucusu</w:t>
      </w:r>
    </w:p>
    <w:p>
      <w:pPr>
        <w:ind w:firstLine="425"/>
        <w:jc w:val="both"/>
      </w:pPr>
      <w:r>
        <w:rPr>
          <w:rFonts w:ascii="Times New Roman" w:hAnsi="Times New Roman" w:cs="Times New Roman"/>
          <w:b w:val="0"/>
          <w:i w:val="0"/>
          <w:sz w:val="24"/>
        </w:rPr>
        <w:t>Yuvanı dişi quş qurar.</w:t>
      </w:r>
    </w:p>
    <w:p>
      <w:pPr>
        <w:spacing w:after="40"/>
      </w:pPr>
    </w:p>
    <w:p>
      <w:pPr>
        <w:pBdr>
          <w:top w:val="single" w:sz="4" w:space="6" w:color="D9C7A3"/>
          <w:left w:val="single" w:sz="24" w:space="12" w:color="B8860B"/>
          <w:bottom w:val="single" w:sz="4" w:space="6" w:color="D9C7A3"/>
          <w:right w:val="single" w:sz="4" w:space="10" w:color="D9C7A3"/>
        </w:pBdr>
        <w:shd w:val="clear" w:color="auto" w:fill="FBF6EA"/>
        <w:spacing w:before="0" w:after="60"/>
        <w:ind w:left="227" w:right="113"/>
        <w:jc w:val="both"/>
      </w:pPr>
      <w:r>
        <w:rPr>
          <w:rFonts w:ascii="Times New Roman" w:hAnsi="Times New Roman" w:cs="Times New Roman"/>
          <w:b w:val="0"/>
          <w:i/>
          <w:color w:val="333333"/>
          <w:sz w:val="24"/>
        </w:rPr>
        <w:t>Yuvanı quran, ailəni ayaqda saxlayan qadındır. Onun zəhmətini görmək və qiymətləndirmək lazımdır.</w:t>
      </w:r>
    </w:p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 w:before="0"/>
      <w:jc w:val="both"/>
    </w:pPr>
    <w:rPr>
      <w:rFonts w:ascii="Times New Roman" w:hAnsi="Times New Roman" w:cs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jc w:val="left"/>
      <w:outlineLvl w:val="0"/>
    </w:pPr>
    <w:rPr>
      <w:rFonts w:asciiTheme="majorHAnsi" w:eastAsiaTheme="majorEastAsia" w:hAnsiTheme="majorHAnsi" w:cstheme="majorBidi" w:ascii="Times New Roman" w:hAnsi="Times New Roman" w:cs="Times New Roman"/>
      <w:b/>
      <w:bCs/>
      <w:i w:val="0"/>
      <w:color w:val="1F1F1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