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Hacc ziyarəti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Hacc ziyarətində olan biri şeytana daş atma vaxtı gələndə daşı atmaq əvəzinə onunla özünü vurmağa başlayır. Ətrafdakılardan bir cavan heyrətlə soruşur: «Ay dayı, niyə daşla özünü döyürsən?» Adam belə cavab verir: «Oğul, de görüm, bizim buradakı şeytanla nə işimiz var? Biz gərək öz içimizdəki şeytanı daşqalaq edək, öz nəfsimizi tərbiyə edək, özümüzü paklayaq.»</w:t>
      </w:r>
    </w:p>
    <w:p>
      <w:pPr>
        <w:spacing w:before="80" w:after="80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909090"/>
          <w:sz w:val="24"/>
        </w:rPr>
        <w:t>* * *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Hərarət oddadır, sacda deyildir,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kəramət başdadır, tacda deyildir.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Hər nə axtarırsansa, özündə axtar,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Qüdsdə, Məkkədə, hacda deyildir.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Əsl mübarizə kənardakı şeytanla yox, insanın öz nəfsi ilədir. Kəramət daşda-tacda deyil, insanın öz içindədir.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