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Piyada və şah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Piyadadır deyə kiçik görmə!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Gün gələr, ŞAH olar.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Şahdır deyə güvənmə!</w:t>
      </w:r>
    </w:p>
    <w:p>
      <w:pPr>
        <w:ind w:firstLine="425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Gün gələr, MAT olar.</w:t>
      </w:r>
    </w:p>
    <w:p>
      <w:pPr>
        <w:spacing w:after="40"/>
      </w:pPr>
    </w:p>
    <w:p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before="0" w:after="60"/>
        <w:ind w:left="227" w:right="113"/>
        <w:jc w:val="both"/>
      </w:pPr>
      <w:r>
        <w:rPr>
          <w:rFonts w:ascii="Times New Roman" w:hAnsi="Times New Roman" w:cs="Times New Roman"/>
          <w:b w:val="0"/>
          <w:i/>
          <w:color w:val="333333"/>
          <w:sz w:val="24"/>
        </w:rPr>
        <w:t>Kiçik görüb heç kimi alçaltma, mövqeyinə arxalanıb lovğalanma. Piyada şah, şah isə mat ola bilər.</w:t>
      </w:r>
    </w:p>
    <w:p>
      <w:pPr>
        <w:spacing w:after="120"/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i w:val="0"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