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Stoning the Devil</w:t>
      </w:r>
    </w:p>
    <w:p>
      <w:pPr>
        <w:jc w:val="left"/>
      </w:pPr>
      <w:r>
        <w:t>During the Hajj, when it was time to cast stones at the devil, one pilgrim began striking himself with the stones instead. A young man nearby asked in surprise:</w:t>
      </w:r>
    </w:p>
    <w:p>
      <w:pPr>
        <w:jc w:val="left"/>
      </w:pPr>
      <w:r>
        <w:t>— Uncle, why are you hitting yourself with those stones?</w:t>
      </w:r>
    </w:p>
    <w:p>
      <w:pPr>
        <w:jc w:val="left"/>
      </w:pPr>
      <w:r>
        <w:t>The man replied:</w:t>
      </w:r>
    </w:p>
    <w:p>
      <w:pPr>
        <w:jc w:val="left"/>
      </w:pPr>
      <w:r>
        <w:t>— My son, why focus only on the devil outside us? We should stone the devil within ourselves as well — discipline our lower selves and purify our hearts.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b/>
        </w:rPr>
        <w:t xml:space="preserve">Moral: </w:t>
      </w:r>
      <w:r>
        <w:t>The real struggle is not only against evil outside us, but against the uncontrolled desires within. Purifying oneself is harder than condemning others, but far more valuable.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The story was obtained from open Internet sources.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Stoning the Devil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