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Внешний вид дервиша</w:t>
      </w:r>
    </w:p>
    <w:p>
      <w:pPr>
        <w:jc w:val="left"/>
      </w:pPr>
      <w:r>
        <w:t>Однажды дервиша спросили:</w:t>
      </w:r>
    </w:p>
    <w:p>
      <w:pPr>
        <w:jc w:val="left"/>
      </w:pPr>
      <w:r>
        <w:t>— Почему твоя одежда такая неопрятная?</w:t>
      </w:r>
    </w:p>
    <w:p>
      <w:pPr>
        <w:jc w:val="left"/>
      </w:pPr>
      <w:r>
        <w:t>Он ответил:</w:t>
      </w:r>
    </w:p>
    <w:p>
      <w:pPr>
        <w:jc w:val="left"/>
      </w:pPr>
      <w:r>
        <w:t>— Я всё время занят тем, чтобы приводить в порядок свою душу, и мне почти не остаётся времени заботиться о внешности.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b/>
        </w:rPr>
        <w:t xml:space="preserve">Мораль: </w:t>
      </w:r>
      <w:r>
        <w:t>Тот, кто старается сделать прекраснее свой внутренний мир, не судит о человеке по внешности. Настоящая красота — не в одежде, а в чистоте сердца и свете души.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Одежда дервиша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